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i/>
          <w:i/>
          <w:iCs/>
          <w:sz w:val="32"/>
          <w:szCs w:val="28"/>
        </w:rPr>
      </w:pPr>
      <w:r>
        <w:rPr>
          <w:rFonts w:eastAsia="Times New Roman" w:cs="Times New Roman"/>
          <w:b/>
          <w:bCs/>
          <w:sz w:val="28"/>
        </w:rPr>
        <w:t>ФЕДЕРАЛЬНАЯ НАЛОГОВАЯ СЛУЖБА</w:t>
      </w:r>
    </w:p>
    <w:p>
      <w:pPr>
        <w:pStyle w:val="Normal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8"/>
        </w:rPr>
      </w:pPr>
      <w:r>
        <w:rPr>
          <w:b/>
          <w:sz w:val="28"/>
        </w:rPr>
        <w:t>РУКОВОДСТВО ПОЛЬЗОВАТЕЛЯ ВИДА СВЕДЕНИЯ В ЕДИНОЙ СИСТЕМЕ МЕЖВЕДОМСТВЕННОГО ЭЛЕКТРОННОГО ВЗАИМОДЕЙСТВИЯ</w:t>
      </w:r>
    </w:p>
    <w:p>
      <w:pPr>
        <w:pStyle w:val="Normal"/>
        <w:ind w:left="284" w:firstLine="56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«Сведения о банковских счетах (депозитах) организации»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Дата</w:t>
      </w:r>
      <w:r>
        <w:rPr/>
        <w:t>: 12.02.2016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Версия</w:t>
      </w:r>
      <w:r>
        <w:rPr/>
        <w:t>: 1.0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  <w:r>
        <w:br w:type="page"/>
      </w:r>
    </w:p>
    <w:p>
      <w:pPr>
        <w:pStyle w:val="Normal"/>
        <w:tabs>
          <w:tab w:val="right" w:pos="8973" w:leader="dot"/>
        </w:tabs>
        <w:spacing w:before="120" w:after="0"/>
        <w:ind w:right="23" w:hanging="0"/>
        <w:jc w:val="center"/>
        <w:rPr/>
      </w:pPr>
      <w:r>
        <w:rPr/>
        <w:t>ОГЛАВЛЕНИЕ</w:t>
      </w:r>
    </w:p>
    <w:p>
      <w:pPr>
        <w:pStyle w:val="12"/>
        <w:ind w:right="520" w:hanging="0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r>
        <w:fldChar w:fldCharType="begin"/>
      </w:r>
      <w:r>
        <w:rPr>
          <w:webHidden/>
          <w:rStyle w:val="Style13"/>
        </w:rPr>
        <w:instrText> TOC \z \o "1-3" \u \h</w:instrText>
      </w:r>
      <w:r>
        <w:rPr>
          <w:webHidden/>
          <w:rStyle w:val="Style13"/>
        </w:rPr>
        <w:fldChar w:fldCharType="separate"/>
      </w:r>
      <w:hyperlink w:anchor="_Toc438117075">
        <w:r>
          <w:rPr>
            <w:webHidden/>
            <w:rStyle w:val="Style13"/>
          </w:rPr>
          <w:t>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ОБЩИЕ СВЕДЕНИЯ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_Toc438117075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22"/>
        <w:ind w:left="24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76">
        <w:r>
          <w:rPr>
            <w:webHidden/>
            <w:rStyle w:val="Style13"/>
          </w:rPr>
          <w:t>1.1.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Руководящие документы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_Toc438117076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22"/>
        <w:ind w:left="24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77">
        <w:r>
          <w:rPr>
            <w:webHidden/>
            <w:rStyle w:val="Style13"/>
          </w:rPr>
          <w:t>1.2.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Описание вида сведения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_Toc438117077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12"/>
        <w:ind w:right="520" w:hanging="0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38117078">
        <w:r>
          <w:rPr>
            <w:webHidden/>
            <w:rStyle w:val="Style13"/>
          </w:rPr>
          <w:t>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СХЕМА ВИДА СВЕДЕНИЙ И ЭТАЛОННЫЕ ЗАПРОСЫ И ОТВЕТЫ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_Toc438117078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5</w:t>
        </w:r>
        <w:r>
          <w:rPr>
            <w:webHidden/>
          </w:rPr>
          <w:fldChar w:fldCharType="end"/>
        </w:r>
      </w:hyperlink>
    </w:p>
    <w:p>
      <w:pPr>
        <w:pStyle w:val="22"/>
        <w:ind w:left="24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79">
        <w:r>
          <w:rPr>
            <w:webHidden/>
            <w:rStyle w:val="Style13"/>
          </w:rPr>
          <w:t>2.1.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Схема вида сведений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_Toc438117079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5</w:t>
        </w:r>
        <w:r>
          <w:rPr>
            <w:webHidden/>
          </w:rPr>
          <w:fldChar w:fldCharType="end"/>
        </w:r>
      </w:hyperlink>
    </w:p>
    <w:p>
      <w:pPr>
        <w:pStyle w:val="22"/>
        <w:ind w:left="24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0">
        <w:r>
          <w:rPr>
            <w:webHidden/>
            <w:rStyle w:val="Style13"/>
          </w:rPr>
          <w:t>2.2.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Эталонные запросы и ответы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_Toc438117080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10</w:t>
        </w:r>
        <w:r>
          <w:rPr>
            <w:webHidden/>
          </w:rPr>
          <w:fldChar w:fldCharType="end"/>
        </w:r>
      </w:hyperlink>
    </w:p>
    <w:p>
      <w:pPr>
        <w:pStyle w:val="12"/>
        <w:ind w:right="520" w:hanging="0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38117081">
        <w:r>
          <w:rPr>
            <w:webHidden/>
            <w:rStyle w:val="Style13"/>
          </w:rPr>
          <w:t>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ТЕСТОВЫЕ СЦЕНАРИИ И КОНТОРОЛЬНЫЕ ПРИМЕРЫ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_Toc438117081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13</w:t>
        </w:r>
        <w:r>
          <w:rPr>
            <w:webHidden/>
          </w:rPr>
          <w:fldChar w:fldCharType="end"/>
        </w:r>
      </w:hyperlink>
    </w:p>
    <w:p>
      <w:pPr>
        <w:pStyle w:val="22"/>
        <w:ind w:left="24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2">
        <w:r>
          <w:rPr>
            <w:webHidden/>
            <w:rStyle w:val="Style13"/>
          </w:rPr>
          <w:t>3.1.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Тестовые сценарии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_Toc438117082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13</w:t>
        </w:r>
        <w:r>
          <w:rPr>
            <w:webHidden/>
          </w:rPr>
          <w:fldChar w:fldCharType="end"/>
        </w:r>
      </w:hyperlink>
    </w:p>
    <w:p>
      <w:pPr>
        <w:pStyle w:val="32"/>
        <w:ind w:left="48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3">
        <w:r>
          <w:rPr>
            <w:webHidden/>
            <w:rStyle w:val="Style13"/>
          </w:rPr>
          <w:t>3.1.1.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1: Размещение запроса на предоставление сведений о банковских счетах (депозитах) российской организации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_Toc438117083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13</w:t>
        </w:r>
        <w:r>
          <w:rPr>
            <w:webHidden/>
          </w:rPr>
          <w:fldChar w:fldCharType="end"/>
        </w:r>
      </w:hyperlink>
    </w:p>
    <w:p>
      <w:pPr>
        <w:pStyle w:val="32"/>
        <w:ind w:left="48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4">
        <w:r>
          <w:rPr>
            <w:webHidden/>
            <w:rStyle w:val="Style13"/>
          </w:rPr>
          <w:t>3.1.2.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2: Размещение запроса на предоставление сведений о банковских счетах (депозитах) российской организации с некорректной датой открытия счета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_Toc438117084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14</w:t>
        </w:r>
        <w:r>
          <w:rPr>
            <w:webHidden/>
          </w:rPr>
          <w:fldChar w:fldCharType="end"/>
        </w:r>
      </w:hyperlink>
    </w:p>
    <w:p>
      <w:pPr>
        <w:pStyle w:val="32"/>
        <w:ind w:left="48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5">
        <w:r>
          <w:rPr>
            <w:webHidden/>
            <w:rStyle w:val="Style13"/>
          </w:rPr>
          <w:t>3.1.3.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3: Размещение запроса на предоставление сведений о банковских счетах (депозитах) российской организации с указанием ИНН и успешное получение сведений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_Toc438117085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16</w:t>
        </w:r>
        <w:r>
          <w:rPr>
            <w:webHidden/>
          </w:rPr>
          <w:fldChar w:fldCharType="end"/>
        </w:r>
      </w:hyperlink>
    </w:p>
    <w:p>
      <w:pPr>
        <w:pStyle w:val="32"/>
        <w:ind w:left="48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6">
        <w:r>
          <w:rPr>
            <w:webHidden/>
            <w:rStyle w:val="Style13"/>
          </w:rPr>
          <w:t>3.1.4.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4: Размещение запроса на предоставление сведений о банковских счетах (депозитах) иностранной организации c неверным контрольным разрядом ИНН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_Toc438117086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18</w:t>
        </w:r>
        <w:r>
          <w:rPr>
            <w:webHidden/>
          </w:rPr>
          <w:fldChar w:fldCharType="end"/>
        </w:r>
      </w:hyperlink>
    </w:p>
    <w:p>
      <w:pPr>
        <w:pStyle w:val="32"/>
        <w:ind w:left="48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7">
        <w:r>
          <w:rPr>
            <w:webHidden/>
            <w:rStyle w:val="Style13"/>
          </w:rPr>
          <w:t>3.1.5.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5: Размещение запроса на предоставление сведений о банковских счетах (депозитах) иностранной организации с указанием КИО и успешное получение сведений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_Toc438117087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20</w:t>
        </w:r>
        <w:r>
          <w:rPr>
            <w:webHidden/>
          </w:rPr>
          <w:fldChar w:fldCharType="end"/>
        </w:r>
      </w:hyperlink>
    </w:p>
    <w:p>
      <w:pPr>
        <w:pStyle w:val="32"/>
        <w:ind w:left="480" w:right="520" w:hanging="0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88">
        <w:r>
          <w:rPr>
            <w:webHidden/>
            <w:rStyle w:val="Style13"/>
          </w:rPr>
          <w:t>3.1.6.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Сценарий 5: Размещение запроса на предоставление сведений о банковских счетах (депозитах) иностранной организации с указанием несуществующего КИО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_Toc438117088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22</w:t>
        </w:r>
        <w:r>
          <w:rPr>
            <w:webHidden/>
          </w:rPr>
          <w:fldChar w:fldCharType="end"/>
        </w:r>
      </w:hyperlink>
    </w:p>
    <w:p>
      <w:pPr>
        <w:pStyle w:val="12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38117089">
        <w:r>
          <w:rPr>
            <w:webHidden/>
            <w:rStyle w:val="Style13"/>
          </w:rPr>
          <w:t>4.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СОСТАВ ПЕРЕДАВАЕМОЙ ИНФОРМАЦИИ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_Toc438117089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24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0">
        <w:r>
          <w:rPr>
            <w:webHidden/>
            <w:rStyle w:val="Style13"/>
          </w:rPr>
          <w:t>4.1.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Helvetica" w:cs="Helvetica" w:cstheme="majorBidi" w:eastAsiaTheme="majorEastAsia"/>
          </w:rPr>
          <w:t>Описание</w:t>
        </w:r>
        <w:r>
          <w:rPr>
            <w:rStyle w:val="Style13"/>
            <w:rFonts w:eastAsia="Arial Unicode MS"/>
          </w:rPr>
          <w:t xml:space="preserve"> полей запроса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_Toc438117090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24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1">
        <w:r>
          <w:rPr>
            <w:webHidden/>
            <w:rStyle w:val="Style13"/>
          </w:rPr>
          <w:t>4.2.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Helvetica" w:eastAsiaTheme="majorEastAsia"/>
          </w:rPr>
          <w:t>Описание</w:t>
        </w:r>
        <w:r>
          <w:rPr>
            <w:rStyle w:val="Style13"/>
            <w:rFonts w:eastAsia="Arial Unicode MS"/>
          </w:rPr>
          <w:t xml:space="preserve"> полей ответа на запрос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_Toc438117091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24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2">
        <w:r>
          <w:rPr>
            <w:webHidden/>
            <w:rStyle w:val="Style13"/>
            <w:rFonts w:eastAsia="Arial Unicode MS"/>
          </w:rPr>
          <w:t>4.3.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Helvetica" w:eastAsiaTheme="majorEastAsia"/>
          </w:rPr>
          <w:t>Описание</w:t>
        </w:r>
        <w:r>
          <w:rPr>
            <w:rStyle w:val="Style13"/>
            <w:rFonts w:eastAsia="Arial Unicode MS"/>
          </w:rPr>
          <w:t xml:space="preserve"> комплексных типов полей (при наличии)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_Toc438117092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25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3">
        <w:r>
          <w:rPr>
            <w:webHidden/>
            <w:rStyle w:val="Style13"/>
            <w:rFonts w:eastAsia="Arial Unicode MS"/>
          </w:rPr>
          <w:t>4.4.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Arial Unicode MS"/>
          </w:rPr>
          <w:t xml:space="preserve">Описание </w:t>
        </w:r>
        <w:r>
          <w:rPr>
            <w:rStyle w:val="Style13"/>
            <w:rFonts w:eastAsia="Helvetica" w:eastAsiaTheme="majorEastAsia"/>
          </w:rPr>
          <w:t>проверок</w:t>
        </w:r>
        <w:r>
          <w:rPr>
            <w:rStyle w:val="Style13"/>
            <w:rFonts w:eastAsia="Arial Unicode MS"/>
          </w:rPr>
          <w:t xml:space="preserve"> запроса на стороне поставщика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_Toc438117093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27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4">
        <w:r>
          <w:rPr>
            <w:webHidden/>
            <w:rStyle w:val="Style13"/>
            <w:rFonts w:eastAsia="Arial Unicode MS"/>
          </w:rPr>
          <w:t>4.5.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  <w:rFonts w:eastAsia="Arial Unicode MS"/>
          </w:rPr>
          <w:t>Описание вложений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_Toc438117094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28</w:t>
        </w:r>
        <w:r>
          <w:rPr>
            <w:webHidden/>
          </w:rPr>
          <w:fldChar w:fldCharType="end"/>
        </w:r>
      </w:hyperlink>
    </w:p>
    <w:p>
      <w:pPr>
        <w:pStyle w:val="12"/>
        <w:rPr>
          <w:rFonts w:ascii="Helvetica" w:hAnsi="Helvetica" w:eastAsia="Helvetica" w:cs="Helvetica" w:asciiTheme="minorHAnsi" w:cstheme="minorBidi" w:eastAsiaTheme="minorEastAsia" w:hAnsiTheme="minorHAnsi"/>
          <w:caps w:val="false"/>
          <w:smallCaps w:val="false"/>
          <w:color w:val="00000A"/>
          <w:sz w:val="22"/>
          <w:szCs w:val="22"/>
        </w:rPr>
      </w:pPr>
      <w:hyperlink w:anchor="_Toc438117095">
        <w:r>
          <w:rPr>
            <w:webHidden/>
            <w:rStyle w:val="Style13"/>
          </w:rPr>
          <w:t>5.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aps w:val="false"/>
            <w:smallCaps w:val="false"/>
            <w:color w:val="00000A"/>
            <w:sz w:val="22"/>
            <w:szCs w:val="22"/>
          </w:rPr>
          <w:tab/>
        </w:r>
        <w:r>
          <w:rPr>
            <w:rStyle w:val="Style13"/>
          </w:rPr>
          <w:t>ДОПОЛНИТЕЛЬНАЯ ИНФОРМАЦИЯ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_Toc438117095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29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6">
        <w:r>
          <w:rPr>
            <w:webHidden/>
            <w:rStyle w:val="Style13"/>
          </w:rPr>
          <w:t>5.1.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Состав справочной информации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_Toc438117096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29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7">
        <w:r>
          <w:rPr>
            <w:webHidden/>
            <w:rStyle w:val="Style13"/>
          </w:rPr>
          <w:t>5.2.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Контактная информация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_Toc438117097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29</w:t>
        </w:r>
        <w:r>
          <w:rPr>
            <w:webHidden/>
          </w:rPr>
          <w:fldChar w:fldCharType="end"/>
        </w:r>
      </w:hyperlink>
    </w:p>
    <w:p>
      <w:pPr>
        <w:pStyle w:val="22"/>
        <w:rPr>
          <w:rFonts w:ascii="Helvetica" w:hAnsi="Helvetica" w:eastAsia="Helvetica" w:cs="Helvetica" w:asciiTheme="minorHAnsi" w:cstheme="minorBidi" w:eastAsiaTheme="minorEastAsia" w:hAnsiTheme="minorHAnsi"/>
          <w:color w:val="00000A"/>
          <w:sz w:val="22"/>
          <w:szCs w:val="22"/>
        </w:rPr>
      </w:pPr>
      <w:hyperlink w:anchor="_Toc438117098">
        <w:r>
          <w:rPr>
            <w:webHidden/>
            <w:rStyle w:val="Style13"/>
          </w:rPr>
          <w:t>5.3.</w:t>
        </w:r>
        <w:r>
          <w:rPr>
            <w:rStyle w:val="Style13"/>
            <w:rFonts w:eastAsia="Helvetica" w:cs="Helvetica" w:ascii="Helvetica" w:hAnsi="Helvetica" w:asciiTheme="minorHAnsi" w:cstheme="minorBidi" w:eastAsiaTheme="minorEastAsia" w:hAnsiTheme="minorHAnsi"/>
            <w:color w:val="00000A"/>
            <w:sz w:val="22"/>
            <w:szCs w:val="22"/>
          </w:rPr>
          <w:tab/>
        </w:r>
        <w:r>
          <w:rPr>
            <w:rStyle w:val="Style13"/>
          </w:rPr>
          <w:t>Примечания</w:t>
        </w:r>
        <w:r>
          <w:rPr>
            <w:webHidden/>
          </w:rPr>
          <w:fldChar w:fldCharType="begin"/>
        </w:r>
        <w:r>
          <w:rPr>
            <w:webHidden/>
          </w:rPr>
          <w:instrText>PAGEREF _Toc438117098 \h</w:instrText>
        </w:r>
        <w:r>
          <w:rPr>
            <w:webHidden/>
          </w:rPr>
          <w:fldChar w:fldCharType="separate"/>
        </w:r>
        <w:r>
          <w:rPr>
            <w:rStyle w:val="Style13"/>
            <w:vanish w:val="false"/>
          </w:rPr>
          <w:tab/>
          <w:t>29</w:t>
        </w:r>
        <w:r>
          <w:rPr>
            <w:webHidden/>
          </w:rPr>
          <w:fldChar w:fldCharType="end"/>
        </w:r>
      </w:hyperlink>
    </w:p>
    <w:p>
      <w:pPr>
        <w:pStyle w:val="Normal"/>
        <w:tabs>
          <w:tab w:val="right" w:pos="8973" w:leader="dot"/>
        </w:tabs>
        <w:spacing w:before="120" w:after="0"/>
        <w:ind w:right="23" w:firstLine="709"/>
        <w:jc w:val="both"/>
        <w:rPr/>
      </w:pPr>
      <w:r>
        <w:rPr/>
      </w:r>
      <w:r>
        <w:rPr/>
        <w:fldChar w:fldCharType="end"/>
      </w:r>
    </w:p>
    <w:p>
      <w:pPr>
        <w:pStyle w:val="Normal"/>
        <w:numPr>
          <w:ilvl w:val="0"/>
          <w:numId w:val="0"/>
        </w:numPr>
        <w:tabs>
          <w:tab w:val="right" w:pos="8973" w:leader="dot"/>
        </w:tabs>
        <w:spacing w:before="120" w:after="0"/>
        <w:ind w:right="23" w:firstLine="709"/>
        <w:jc w:val="both"/>
        <w:outlineLvl w:val="0"/>
        <w:rPr/>
      </w:pPr>
      <w:r>
        <w:rPr/>
      </w:r>
      <w:r>
        <w:br w:type="page"/>
      </w:r>
    </w:p>
    <w:p>
      <w:pPr>
        <w:pStyle w:val="Normal"/>
        <w:jc w:val="center"/>
        <w:rPr>
          <w:b/>
          <w:b/>
        </w:rPr>
      </w:pPr>
      <w:r>
        <w:rPr>
          <w:b/>
        </w:rPr>
        <w:t>ИЗМЕНЕНИЯ</w:t>
      </w:r>
    </w:p>
    <w:p>
      <w:pPr>
        <w:pStyle w:val="Normal"/>
        <w:jc w:val="center"/>
        <w:rPr/>
      </w:pPr>
      <w:r>
        <w:rPr/>
      </w:r>
    </w:p>
    <w:tbl>
      <w:tblPr>
        <w:tblStyle w:val="TableNormal"/>
        <w:tblW w:w="9436" w:type="dxa"/>
        <w:jc w:val="left"/>
        <w:tblInd w:w="470" w:type="dxa"/>
        <w:tblBorders>
          <w:top w:val="single" w:sz="6" w:space="0" w:color="000001"/>
          <w:left w:val="single" w:sz="6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80" w:type="dxa"/>
          <w:left w:w="72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1275"/>
        <w:gridCol w:w="1559"/>
        <w:gridCol w:w="1849"/>
        <w:gridCol w:w="4752"/>
      </w:tblGrid>
      <w:tr>
        <w:trPr>
          <w:trHeight w:val="307" w:hRule="atLeast"/>
        </w:trPr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Версия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Дата</w:t>
            </w:r>
          </w:p>
        </w:tc>
        <w:tc>
          <w:tcPr>
            <w:tcW w:w="1849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Автор</w:t>
            </w:r>
          </w:p>
        </w:tc>
        <w:tc>
          <w:tcPr>
            <w:tcW w:w="475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Изменения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17.12.2015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Свечников А.Н.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Исходный документ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05.02.2016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Свечников А.Н.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jc w:val="both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Изменена схема. Версия 4.0.2.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10.02.2016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Свечников А.Н.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Внесены изменения в Эталонный запрос № 2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12.02.2016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Свечников А.Н.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Исключены кавычки впространствах имен в тестовых сценариях</w:t>
            </w:r>
          </w:p>
        </w:tc>
      </w:tr>
      <w:tr>
        <w:trPr>
          <w:trHeight w:val="260" w:hRule="atLeast"/>
        </w:trPr>
        <w:tc>
          <w:tcPr>
            <w:tcW w:w="1275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15.05.2018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Корнеева С.Н.</w:t>
            </w:r>
          </w:p>
        </w:tc>
        <w:tc>
          <w:tcPr>
            <w:tcW w:w="47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Внесены изменения в п.1.2: внесена информация в поле «Потребители».</w:t>
            </w:r>
            <w:bookmarkStart w:id="0" w:name="_GoBack"/>
            <w:bookmarkEnd w:id="0"/>
          </w:p>
        </w:tc>
      </w:tr>
    </w:tbl>
    <w:p>
      <w:pPr>
        <w:pStyle w:val="Normal"/>
        <w:rPr>
          <w:u w:val="none" w:color="A6A6A6"/>
        </w:rPr>
      </w:pPr>
      <w:r>
        <w:rPr>
          <w:u w:val="none" w:color="A6A6A6"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ТЕРМИНЫ И СОКРАЩЕНИЯ</w:t>
      </w:r>
    </w:p>
    <w:p>
      <w:pPr>
        <w:pStyle w:val="Normal"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</w:r>
    </w:p>
    <w:tbl>
      <w:tblPr>
        <w:tblStyle w:val="TableNormal"/>
        <w:tblW w:w="9436" w:type="dxa"/>
        <w:jc w:val="left"/>
        <w:tblInd w:w="470" w:type="dxa"/>
        <w:tblBorders>
          <w:top w:val="single" w:sz="6" w:space="0" w:color="000001"/>
          <w:left w:val="single" w:sz="6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80" w:type="dxa"/>
          <w:left w:w="72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2693"/>
        <w:gridCol w:w="6742"/>
      </w:tblGrid>
      <w:tr>
        <w:trPr>
          <w:trHeight w:val="307" w:hRule="atLeast"/>
        </w:trPr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Термин</w:t>
            </w:r>
            <w:r>
              <w:rPr>
                <w:rFonts w:ascii="Times New Roman" w:hAnsi="Times New Roman"/>
              </w:rPr>
              <w:t>/</w:t>
            </w:r>
            <w:r>
              <w:rPr/>
              <w:t>сокращение</w:t>
            </w:r>
          </w:p>
        </w:tc>
        <w:tc>
          <w:tcPr>
            <w:tcW w:w="6742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/>
              <w:t>Описание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СМЭВ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Система межведомственного электронного взаимодействия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Поставщик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Организация-владелец электронного сервиса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WSDL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Web Services Description Language — </w:t>
            </w:r>
            <w:r>
              <w:rPr>
                <w:rFonts w:cs="Times New Roman"/>
              </w:rPr>
              <w:t>язык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описания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веб</w:t>
            </w:r>
            <w:r>
              <w:rPr>
                <w:rFonts w:cs="Times New Roman"/>
                <w:lang w:val="en-US"/>
              </w:rPr>
              <w:t>-</w:t>
            </w:r>
            <w:r>
              <w:rPr>
                <w:rFonts w:cs="Times New Roman"/>
              </w:rPr>
              <w:t>сервисов</w:t>
            </w:r>
            <w:r>
              <w:rPr>
                <w:rFonts w:cs="Times New Roman"/>
                <w:lang w:val="en-US"/>
              </w:rPr>
              <w:t>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XSD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XML </w:t>
            </w:r>
            <w:r>
              <w:rPr>
                <w:rFonts w:cs="Times New Roman"/>
                <w:lang w:val="en-US"/>
              </w:rPr>
              <w:t>Schemadefinition</w:t>
            </w:r>
            <w:r>
              <w:rPr>
                <w:rFonts w:cs="Times New Roman"/>
              </w:rPr>
              <w:t>- язык описания структуры XML документа.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SOAP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SimpleObjectAccessProtocol</w:t>
            </w:r>
            <w:r>
              <w:rPr>
                <w:rFonts w:cs="Times New Roman"/>
              </w:rPr>
              <w:t>- протокол обмена структурированными сообщениями в распределённой вычислительной среде.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XML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 xml:space="preserve">eXtensible Markup Language — </w:t>
            </w:r>
            <w:r>
              <w:rPr>
                <w:rFonts w:cs="Times New Roman"/>
              </w:rPr>
              <w:t>расширяемый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язык</w:t>
            </w:r>
            <w:r>
              <w:rPr>
                <w:rFonts w:cs="Times New Roman"/>
                <w:lang w:val="en-US"/>
              </w:rPr>
              <w:t xml:space="preserve"> </w:t>
            </w:r>
            <w:r>
              <w:rPr>
                <w:rFonts w:cs="Times New Roman"/>
              </w:rPr>
              <w:t>разметки</w:t>
            </w:r>
            <w:r>
              <w:rPr>
                <w:rFonts w:cs="Times New Roman"/>
                <w:lang w:val="en-US"/>
              </w:rPr>
              <w:t>.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ИНН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Идентификационный номер налогоплательщика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ОГРН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Основной государственный регистрационный номер юридического лица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ЮЛ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Юридическое лицо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ФЛ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Физическое лицо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ЭП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Электронная подпись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ФНС России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 xml:space="preserve">Федеральная налоговая служба </w:t>
            </w:r>
          </w:p>
        </w:tc>
      </w:tr>
      <w:tr>
        <w:trPr>
          <w:trHeight w:val="260" w:hRule="atLeast"/>
        </w:trPr>
        <w:tc>
          <w:tcPr>
            <w:tcW w:w="2693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НО</w:t>
            </w:r>
          </w:p>
        </w:tc>
        <w:tc>
          <w:tcPr>
            <w:tcW w:w="67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  <w:insideH w:val="single" w:sz="8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</w:rPr>
            </w:pPr>
            <w:r>
              <w:rPr>
                <w:rFonts w:cs="Times New Roman"/>
              </w:rPr>
              <w:t>Налоговый орган</w:t>
            </w:r>
          </w:p>
        </w:tc>
      </w:tr>
    </w:tbl>
    <w:p>
      <w:pPr>
        <w:pStyle w:val="Normal"/>
        <w:rPr/>
      </w:pPr>
      <w:r>
        <w:rPr/>
      </w:r>
    </w:p>
    <w:p>
      <w:pPr>
        <w:pStyle w:val="1"/>
        <w:numPr>
          <w:ilvl w:val="0"/>
          <w:numId w:val="2"/>
        </w:numPr>
        <w:rPr/>
      </w:pPr>
      <w:bookmarkStart w:id="1" w:name="_Toc438117075"/>
      <w:bookmarkStart w:id="2" w:name="_Toc432068029"/>
      <w:bookmarkStart w:id="3" w:name="_Toc"/>
      <w:r>
        <w:rPr/>
        <w:t>ОБЩИЕ СВЕДЕНИЯ</w:t>
      </w:r>
      <w:bookmarkEnd w:id="1"/>
      <w:bookmarkEnd w:id="2"/>
      <w:bookmarkEnd w:id="3"/>
    </w:p>
    <w:p>
      <w:pPr>
        <w:pStyle w:val="2"/>
        <w:numPr>
          <w:ilvl w:val="1"/>
          <w:numId w:val="2"/>
        </w:numPr>
        <w:rPr/>
      </w:pPr>
      <w:bookmarkStart w:id="4" w:name="_Toc438117076"/>
      <w:bookmarkStart w:id="5" w:name="_Toc432068030"/>
      <w:bookmarkStart w:id="6" w:name="_Toc1"/>
      <w:r>
        <w:rPr/>
        <w:t>Руководящие документы</w:t>
      </w:r>
      <w:bookmarkEnd w:id="4"/>
      <w:bookmarkEnd w:id="5"/>
      <w:bookmarkEnd w:id="6"/>
    </w:p>
    <w:p>
      <w:pPr>
        <w:pStyle w:val="Normal"/>
        <w:pBdr/>
        <w:tabs>
          <w:tab w:val="left" w:pos="960" w:leader="none"/>
        </w:tabs>
        <w:ind w:left="960" w:hanging="240"/>
        <w:jc w:val="both"/>
        <w:textAlignment w:val="baseline"/>
        <w:rPr/>
      </w:pPr>
      <w:r>
        <w:rPr/>
        <w:t>Основанием для разработки данного вида сведений являются следующие нормативно – правовые акты:</w:t>
      </w:r>
    </w:p>
    <w:p>
      <w:pPr>
        <w:pStyle w:val="Normal"/>
        <w:pBdr/>
        <w:tabs>
          <w:tab w:val="left" w:pos="960" w:leader="none"/>
        </w:tabs>
        <w:spacing w:lineRule="auto" w:line="360"/>
        <w:ind w:left="958" w:hanging="238"/>
        <w:jc w:val="both"/>
        <w:textAlignment w:val="baseline"/>
        <w:rPr>
          <w:rFonts w:cs="Times New Roman"/>
        </w:rPr>
      </w:pPr>
      <w:r>
        <w:rPr>
          <w:rFonts w:cs="Times New Roman"/>
        </w:rPr>
        <w:t xml:space="preserve">- Положение Банка России от 07.09.2007 № 311-П «О порядке сообщения банком в электронном виде налоговому органу об открытии или о закрытии счета, об изменении реквизитов счета». В редакции Указания Банка России от 29.04.2014 № 3251-У; </w:t>
      </w:r>
    </w:p>
    <w:p>
      <w:pPr>
        <w:pStyle w:val="Normal"/>
        <w:pBdr/>
        <w:tabs>
          <w:tab w:val="left" w:pos="960" w:leader="none"/>
        </w:tabs>
        <w:spacing w:lineRule="auto" w:line="360"/>
        <w:ind w:left="958" w:hanging="238"/>
        <w:jc w:val="both"/>
        <w:textAlignment w:val="baseline"/>
        <w:rPr>
          <w:rFonts w:cs="Times New Roman"/>
        </w:rPr>
      </w:pPr>
      <w:r>
        <w:rPr>
          <w:rFonts w:cs="Times New Roman"/>
        </w:rPr>
        <w:t>- 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платежа».</w:t>
      </w:r>
    </w:p>
    <w:p>
      <w:pPr>
        <w:pStyle w:val="2"/>
        <w:numPr>
          <w:ilvl w:val="1"/>
          <w:numId w:val="2"/>
        </w:numPr>
        <w:rPr/>
      </w:pPr>
      <w:bookmarkStart w:id="7" w:name="_Toc438117077"/>
      <w:bookmarkStart w:id="8" w:name="_Toc432068031"/>
      <w:bookmarkStart w:id="9" w:name="_Toc2"/>
      <w:r>
        <w:rPr/>
        <w:t>Описание вида сведения</w:t>
      </w:r>
      <w:bookmarkEnd w:id="7"/>
      <w:bookmarkEnd w:id="8"/>
      <w:bookmarkEnd w:id="9"/>
    </w:p>
    <w:tbl>
      <w:tblPr>
        <w:tblStyle w:val="TableNormal"/>
        <w:tblW w:w="9747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1951"/>
        <w:gridCol w:w="7795"/>
      </w:tblGrid>
      <w:tr>
        <w:trPr>
          <w:trHeight w:val="35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Наименование: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iCs/>
              </w:rPr>
              <w:t>Сведения о банковских счетах (депозитах) организации</w:t>
            </w:r>
          </w:p>
        </w:tc>
      </w:tr>
      <w:tr>
        <w:trPr>
          <w:trHeight w:val="735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ID вида сведения в ФРГУ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Не присвоен</w:t>
            </w:r>
          </w:p>
        </w:tc>
      </w:tr>
      <w:tr>
        <w:trPr>
          <w:trHeight w:val="35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Содержание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Сведения содержат:</w:t>
            </w:r>
          </w:p>
          <w:p>
            <w:pPr>
              <w:pStyle w:val="Normal"/>
              <w:rPr/>
            </w:pPr>
            <w:r>
              <w:rPr/>
              <w:t>- Сведения о банковских счетах организации;</w:t>
            </w:r>
          </w:p>
          <w:p>
            <w:pPr>
              <w:pStyle w:val="Normal"/>
              <w:rPr/>
            </w:pPr>
            <w:r>
              <w:rPr/>
              <w:t>- Сведения об организации.</w:t>
            </w:r>
          </w:p>
          <w:p>
            <w:pPr>
              <w:pStyle w:val="Normal"/>
              <w:rPr/>
            </w:pPr>
            <w:r>
              <w:rPr/>
              <w:t>А также информацию о результате приема:</w:t>
            </w:r>
          </w:p>
          <w:p>
            <w:pPr>
              <w:pStyle w:val="Normal"/>
              <w:rPr/>
            </w:pPr>
            <w:r>
              <w:rPr/>
              <w:t>- код обработки (в случае отрицательного результата приема).</w:t>
            </w:r>
          </w:p>
        </w:tc>
      </w:tr>
      <w:tr>
        <w:trPr>
          <w:trHeight w:val="35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Поставщик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Федеральная налоговая служба</w:t>
            </w:r>
          </w:p>
        </w:tc>
      </w:tr>
      <w:tr>
        <w:trPr>
          <w:trHeight w:val="71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Style25"/>
              <w:spacing w:before="120" w:after="120"/>
              <w:jc w:val="left"/>
              <w:rPr>
                <w:color w:val="00000A"/>
              </w:rPr>
            </w:pPr>
            <w:r>
              <w:rPr>
                <w:color w:val="00000A"/>
              </w:rPr>
              <w:t>Потребители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/>
            </w:pPr>
            <w:r>
              <w:rPr/>
              <w:t xml:space="preserve">ФСБ </w:t>
            </w:r>
            <w:r>
              <w:rPr/>
              <w:t>России</w:t>
            </w:r>
            <w:r>
              <w:rPr/>
              <w:t xml:space="preserve">, МВД </w:t>
            </w:r>
            <w:r>
              <w:rPr/>
              <w:t>России</w:t>
            </w:r>
            <w:r>
              <w:rPr/>
              <w:t>, Генеральная прокуратура Р</w:t>
            </w:r>
            <w:r>
              <w:rPr/>
              <w:t xml:space="preserve">оссийской </w:t>
            </w:r>
            <w:r>
              <w:rPr/>
              <w:t>Ф</w:t>
            </w:r>
            <w:r>
              <w:rPr/>
              <w:t>едерации</w:t>
            </w:r>
            <w:r>
              <w:rPr/>
              <w:t xml:space="preserve">, ФСО </w:t>
            </w:r>
            <w:r>
              <w:rPr/>
              <w:t>России, ФТС России, Росфинмониторинг, ФССП России, Судебный департамент при Верховном суде Российской Федерации</w:t>
            </w:r>
          </w:p>
        </w:tc>
      </w:tr>
      <w:tr>
        <w:trPr>
          <w:trHeight w:val="710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Область применения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Межведомственное взаимодействие</w:t>
            </w:r>
          </w:p>
        </w:tc>
      </w:tr>
      <w:tr>
        <w:trPr>
          <w:trHeight w:val="397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Тип запроса 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Запрос </w:t>
            </w:r>
          </w:p>
        </w:tc>
      </w:tr>
      <w:tr>
        <w:trPr>
          <w:trHeight w:val="684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Тип маршрутизации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Фиксированная </w:t>
            </w:r>
          </w:p>
        </w:tc>
      </w:tr>
      <w:tr>
        <w:trPr>
          <w:trHeight w:val="397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Версия ВС*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4.0.2</w:t>
            </w:r>
          </w:p>
        </w:tc>
      </w:tr>
      <w:tr>
        <w:trPr>
          <w:trHeight w:val="391" w:hRule="atLeast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Версия МР</w:t>
            </w:r>
          </w:p>
        </w:tc>
        <w:tc>
          <w:tcPr>
            <w:tcW w:w="7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3.0</w:t>
            </w:r>
          </w:p>
        </w:tc>
      </w:tr>
    </w:tbl>
    <w:p>
      <w:pPr>
        <w:pStyle w:val="Normal"/>
        <w:rPr>
          <w:rFonts w:eastAsia="Times New Roman" w:cs="Times New Roman"/>
        </w:rPr>
      </w:pPr>
      <w:r>
        <w:rPr>
          <w:rFonts w:eastAsia="Times New Roman" w:cs="Times New Roman"/>
        </w:rPr>
      </w:r>
      <w:r>
        <w:br w:type="page"/>
      </w:r>
    </w:p>
    <w:p>
      <w:pPr>
        <w:pStyle w:val="1"/>
        <w:numPr>
          <w:ilvl w:val="0"/>
          <w:numId w:val="2"/>
        </w:numPr>
        <w:rPr/>
      </w:pPr>
      <w:bookmarkStart w:id="10" w:name="_Toc438117078"/>
      <w:bookmarkStart w:id="11" w:name="_Toc432068032"/>
      <w:bookmarkStart w:id="12" w:name="_Toc3"/>
      <w:r>
        <w:rPr/>
        <w:t>СХЕМА ВИДА СВЕДЕНИЙ</w:t>
      </w:r>
      <w:bookmarkEnd w:id="12"/>
      <w:r>
        <w:rPr/>
        <w:t xml:space="preserve"> И ЭТАЛОННЫЕ ЗАПРОСЫ И ОТВЕТЫ</w:t>
      </w:r>
      <w:bookmarkEnd w:id="10"/>
      <w:bookmarkEnd w:id="11"/>
    </w:p>
    <w:p>
      <w:pPr>
        <w:pStyle w:val="2"/>
        <w:numPr>
          <w:ilvl w:val="1"/>
          <w:numId w:val="2"/>
        </w:numPr>
        <w:rPr/>
      </w:pPr>
      <w:bookmarkStart w:id="13" w:name="_Toc438117079"/>
      <w:bookmarkStart w:id="14" w:name="_Toc432068033"/>
      <w:r>
        <w:rPr/>
        <w:t>Схема вида сведений</w:t>
      </w:r>
      <w:bookmarkEnd w:id="13"/>
      <w:bookmarkEnd w:id="14"/>
    </w:p>
    <w:p>
      <w:pPr>
        <w:pStyle w:val="Normal"/>
        <w:ind w:firstLine="851"/>
        <w:rPr/>
      </w:pPr>
      <w:r>
        <w:rPr/>
        <w:t>Основная схема «название.</w:t>
      </w:r>
      <w:r>
        <w:rPr>
          <w:rFonts w:cs="Times New Roman"/>
          <w:lang w:val="en-US"/>
        </w:rPr>
        <w:t>xsd</w:t>
      </w:r>
      <w:r>
        <w:rPr/>
        <w:t>»:fns-bankaccorg-ru-root.xsd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xs:schema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xmlns:fnst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urn://x-artefacts-fns-bankaccorg/types/171-03/4.0.2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targetNamespace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elementFormDefault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qualified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attributeFormDefault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unqualified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xs:import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urn://x-artefacts-fns-bankaccorg/types/171-03/4.0.2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schemaLocation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./commons/fns-bankaccorg-types.xsd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BankAccOrgRequest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Запрос сведений о банковских счетах (депозитах) 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СвРосОрг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Сведения о российской 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fnst:LegalPersonINNType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fnst:KPPType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fnst:OGRNCompanyType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Сведения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иностранной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fnst:LegalPersonINNType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иностранной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fnst:KPPType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открытия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) -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начало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ДатаОткрКД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открытия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) -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конец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состояния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BankAccOrgResponse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 на запрос сведений о банковских счетах (депозитах) 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Сведения о банковских счетах 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fnst:LegalPersonINNType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иностранной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maxOccurs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unbounded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Сведения о банке (филиале банка), учреждении Банка России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maxOccurs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unbounded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Сведения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счетах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депозитах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fnst:string-20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Номер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открытия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ДатаИзм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изменения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закрытия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состояния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xs:enumeration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fnst:string-25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счета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депозита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fnst:digits-1_4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Регистрационный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номер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fnst:digits-1_4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Порядковый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номер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fnst:digits-9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),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учреждения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России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fnst:string-255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Сокращенное наименование банка (филиала банка), учреждения Банка России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fnst:LegalPersonINNType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России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xs:sequence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За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период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начало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xs:date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За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период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конец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диапазона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fnst:KPPType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fnst:OGRNCompanyType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optional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fnst:string-1000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use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required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Полное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наименование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Код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обработки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fnst:digits-2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xs:choice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xs:complexType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16"/>
                <w:szCs w:val="16"/>
                <w:lang w:val="en-US"/>
              </w:rPr>
            </w:pPr>
            <w:r>
              <w:rPr>
                <w:rFonts w:cs="Times New Roman"/>
                <w:i/>
                <w:iCs/>
                <w:sz w:val="16"/>
                <w:szCs w:val="16"/>
                <w:lang w:val="en-US"/>
              </w:rPr>
            </w:r>
          </w:p>
        </w:tc>
      </w:tr>
    </w:tbl>
    <w:p>
      <w:pPr>
        <w:pStyle w:val="Normal"/>
        <w:spacing w:before="120" w:after="0"/>
        <w:ind w:firstLine="851"/>
        <w:rPr>
          <w:lang w:val="en-US"/>
        </w:rPr>
      </w:pPr>
      <w:r>
        <w:rPr>
          <w:lang w:val="en-US"/>
        </w:rPr>
      </w:r>
    </w:p>
    <w:p>
      <w:pPr>
        <w:pStyle w:val="Normal"/>
        <w:spacing w:before="120" w:after="0"/>
        <w:ind w:firstLine="851"/>
        <w:rPr>
          <w:lang w:val="en-US"/>
        </w:rPr>
      </w:pPr>
      <w:r>
        <w:rPr/>
        <w:t>Импортированная</w:t>
      </w:r>
      <w:r>
        <w:rPr>
          <w:lang w:val="en-US"/>
        </w:rPr>
        <w:t xml:space="preserve"> </w:t>
      </w:r>
      <w:r>
        <w:rPr/>
        <w:t>схема</w:t>
      </w:r>
      <w:r>
        <w:rPr>
          <w:lang w:val="en-US"/>
        </w:rPr>
        <w:t xml:space="preserve"> «</w:t>
      </w:r>
      <w:r>
        <w:rPr/>
        <w:t>название</w:t>
      </w:r>
      <w:r>
        <w:rPr>
          <w:rFonts w:cs="Times New Roman"/>
          <w:lang w:val="en-US"/>
        </w:rPr>
        <w:t>.xsd</w:t>
      </w:r>
      <w:r>
        <w:rPr>
          <w:lang w:val="en-US"/>
        </w:rPr>
        <w:t>»:fns-bankaccorg-types.xsd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xs:schema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xmlns:fns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urn://x-artefacts-fns-bankaccorg/types/171-03/4.0.2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targetNamespace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urn://x-artefacts-fns-bankaccorg/types/171-03/4.0.2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elementFormDefault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qualified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attributeFormDefault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unqualified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&lt;!--</w:t>
            </w:r>
            <w:r>
              <w:rPr>
                <w:rFonts w:cs="Arial" w:ascii="Arial" w:hAnsi="Arial"/>
                <w:color w:val="808080"/>
                <w:sz w:val="16"/>
                <w:szCs w:val="16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cs="Arial" w:ascii="Arial" w:hAnsi="Arial"/>
                <w:color w:val="808080"/>
                <w:sz w:val="16"/>
                <w:szCs w:val="16"/>
                <w:highlight w:val="white"/>
              </w:rPr>
              <w:t>Структурированные</w:t>
            </w:r>
            <w:r>
              <w:rPr>
                <w:rFonts w:cs="Arial" w:ascii="Arial" w:hAnsi="Arial"/>
                <w:color w:val="80808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808080"/>
                <w:sz w:val="16"/>
                <w:szCs w:val="16"/>
                <w:highlight w:val="white"/>
              </w:rPr>
              <w:t>типы</w:t>
            </w:r>
            <w:r>
              <w:rPr>
                <w:rFonts w:cs="Arial" w:ascii="Arial" w:hAnsi="Arial"/>
                <w:color w:val="808080"/>
                <w:sz w:val="16"/>
                <w:szCs w:val="16"/>
                <w:highlight w:val="white"/>
                <w:lang w:val="en-US"/>
              </w:rPr>
              <w:t xml:space="preserve">  ==========================================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--&gt;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KPPType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: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 xml:space="preserve">Код причины постановки на учет (КПП) 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: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([0-9]{1}[1-9]{1}|[1-9]{1}[0-9]{1})([0-9]{2})([0-9A-F]{2})([0-9]{3})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OGRNCompanyType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юридического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лица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[125]{1}\d{12}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LegalPersonINNType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Идентификационный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номер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налогоплательщика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-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организации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([0-9]{1}[1-9]{1}|[1-9]{1}[0-9]{1})[0-9]{8}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digits-2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Строка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состоящая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из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2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цифр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Содержит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только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цифры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\d{2}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digits-9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Строка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состоящая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из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9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цифр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Содержит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только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цифры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\d{9}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digits-1_4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Строка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,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содержащая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одной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четырёх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цифр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Содержит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только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цифры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xs:pattern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\d{1,4}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string-1000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Произвольный текст длиной от 1 до 1000 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1000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string-255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Произвольный текст длиной от 1 до 255 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string-25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Произвольный текст длиной от 1 до 25 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string-20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Произвольный текст длиной от 1 до 20 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Произвольный текст длиной от 1 до 12 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Произвольный текст длиной от 1 до 10 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xs:maxLength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xs:minLength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string-7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7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5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символов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2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символа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xs:simpleType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string-1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Текст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длиной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ровно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1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символ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xs:documentation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xs:annotation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base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xs:string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xs:length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value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xs:restriction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xs:simpleType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xs:schema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2"/>
        <w:numPr>
          <w:ilvl w:val="1"/>
          <w:numId w:val="2"/>
        </w:numPr>
        <w:rPr/>
      </w:pPr>
      <w:bookmarkStart w:id="15" w:name="_Toc438117080"/>
      <w:bookmarkStart w:id="16" w:name="_Toc432068034"/>
      <w:r>
        <w:rPr/>
        <w:t>Эталонные запросы и ответы</w:t>
      </w:r>
      <w:bookmarkEnd w:id="15"/>
      <w:bookmarkEnd w:id="16"/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1. Эталонный запрос на предоставление сведений о банковских счетах (депозитах) российской организации:</w:t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tns:СвРосОрг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6164275816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616301001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1022301071132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ind w:firstLine="708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firstLine="708"/>
        <w:rPr>
          <w:rFonts w:cs="Times New Roman"/>
        </w:rPr>
      </w:pPr>
      <w:r>
        <w:rPr>
          <w:rFonts w:cs="Times New Roman"/>
        </w:rPr>
        <w:t>Эталонный ответ:</w:t>
      </w:r>
    </w:p>
    <w:p>
      <w:pPr>
        <w:pStyle w:val="Normal"/>
        <w:ind w:firstLine="708"/>
        <w:rPr>
          <w:rFonts w:cs="Times New Roman"/>
        </w:rPr>
      </w:pPr>
      <w:r>
        <w:rPr>
          <w:rFonts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ПерДатаНач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2014-02-12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ПерДатаКон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1022301071132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ОБЩЕСТВО С ОГРАНИЧЕННОЙ ОТВЕТСВЕННОСТЬЮ  &amp;quot;НАРТ&amp;quot;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616301001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6164275816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НИЖЕГОРОДСКИЙ ФИЛИАЛ НОМОС-БАНКА (ОАО)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БанкКГРКО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ФилКГРКО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0004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БИК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046015262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7717131553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tns:СведСчет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ВидСчет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tns:СведСчет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ДатаЗакр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2015-05-15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ВидСчет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40702ABC938090001069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2. Эталонный запрос на предоставление сведений о банковских счетах (депозитах) российской организации с некорректной датой открытия счета: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2030-02-12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tns:СвРосОрг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1022301071132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cs="Arial" w:ascii="Arial" w:hAnsi="Arial"/>
                <w:color w:val="0070C0"/>
                <w:sz w:val="20"/>
                <w:szCs w:val="20"/>
                <w:highlight w:val="white"/>
              </w:rPr>
              <w:t>ИННЮЛ="7717131553"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616301001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Эталонный ответ: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>
      <w:pPr>
        <w:pStyle w:val="ListParagraph"/>
        <w:ind w:left="1440" w:hanging="0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</w:r>
    </w:p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3. Эталонный запрос на предоставление сведений о банковских счетах (депозитах) иностранной организации с указанием ИНН (успешное получение сведений):</w:t>
      </w:r>
    </w:p>
    <w:p>
      <w:pPr>
        <w:pStyle w:val="ListParagraph"/>
        <w:ind w:left="2160" w:hanging="0"/>
        <w:rPr>
          <w:rFonts w:eastAsia="Times New Roman" w:cs="Times New Roman"/>
        </w:rPr>
      </w:pPr>
      <w:r>
        <w:rPr>
          <w:rFonts w:eastAsia="Times New Roman"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2014-02-12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tns:СвИнОрг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9909123454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tns:СвИнОрг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Эталонный ответ: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ПерДатаНач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2014-02-12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ПерДатаКон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ОБЩЕСТВО С ОГРАНИЧЕННОЙ ОТВЕТСВЕННОСТЬЮ  &amp;quot;НАРТ&amp;quot;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9909123454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НИЖЕГОРОДСКИЙ ФИЛИАЛ НОМОС-БАНКА (ОАО)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БанкКГРКО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ФилКГРКО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0004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БИК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046015262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7717131553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tns:СведСчет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ДатаЗакр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2015-05-15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ВидСчет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40702ABC938090001069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keepNext w:val="true"/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keepNext w:val="true"/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4. Эталонный запрос на предоставление сведений о банковских счетах (депозитах) иностранной организации c неверным контрольным разрядом ИНН:</w:t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2014-02-12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tns:СвИнОрг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9909123450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tns:СвИнОрг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Эталонный ответ: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5. Эталонный запрос на предоставление сведений о банковских счетах (депозитах) иностранной организации с указанием КИО (успешное получение сведений):</w:t>
      </w:r>
    </w:p>
    <w:p>
      <w:pPr>
        <w:pStyle w:val="ListParagraph"/>
        <w:ind w:left="2160" w:hanging="0"/>
        <w:rPr>
          <w:rFonts w:eastAsia="Times New Roman" w:cs="Times New Roman"/>
        </w:rPr>
      </w:pPr>
      <w:r>
        <w:rPr>
          <w:rFonts w:eastAsia="Times New Roman"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ДатаОткрНД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2014-02-12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tns:СвИнОрг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616301001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tns:КИО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12345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tns:КИО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tns:СвИнОрг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Эталонный ответ: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ПерДатаНач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2014-02-12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ПерДатаКон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ОБЩЕСТВО С ОГРАНИЧЕННОЙ ОТВЕТСВЕННОСТЬЮ  &amp;quot;НАРТ&amp;quot;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tns:КИО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12345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tns:КИО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НИЖЕГОРОДСКИЙ ФИЛИАЛ НОМОС-БАНКА (ОАО)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БанкКГРКО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ФилКГРКО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0004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БИК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046015262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7717131553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tns:СведСчет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ДатаОткр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ВидСчет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tns:БанкСчетОрг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>6. Эталонный запрос на предоставление сведений о банковских счетах (депозитах) иностранной организации с указанием несуществующего КИО:</w:t>
      </w:r>
    </w:p>
    <w:p>
      <w:pPr>
        <w:pStyle w:val="ListParagraph"/>
        <w:ind w:left="1440" w:hanging="0"/>
        <w:rPr>
          <w:rFonts w:eastAsia="Times New Roman" w:cs="Times New Roman"/>
        </w:rPr>
      </w:pPr>
      <w:r>
        <w:rPr>
          <w:rFonts w:eastAsia="Times New Roman" w:cs="Times New Roman"/>
        </w:rPr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ДатаОткрКД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1980-11-04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00000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tns:СвИнОрг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</w:rPr>
              <w:t>tns:BankAccOrgRequest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Эталонный ответ:</w:t>
      </w:r>
    </w:p>
    <w:p>
      <w:pPr>
        <w:pStyle w:val="Normal"/>
        <w:rPr/>
      </w:pPr>
      <w:r>
        <w:rPr/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cs="Arial" w:ascii="Arial" w:hAnsi="Arial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cs="Times New Roman"/>
                <w:i/>
                <w:i/>
                <w:iCs/>
                <w:sz w:val="22"/>
                <w:szCs w:val="22"/>
                <w:lang w:val="en-US"/>
              </w:rPr>
            </w:pP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20"/>
                <w:szCs w:val="20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jc w:val="both"/>
        <w:rPr>
          <w:rFonts w:cs="Times New Roman"/>
        </w:rPr>
      </w:pPr>
      <w:r>
        <w:rPr>
          <w:rFonts w:cs="Times New Roman"/>
        </w:rPr>
        <w:t>Примечание: 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>
      <w:pPr>
        <w:pStyle w:val="Normal"/>
        <w:jc w:val="both"/>
        <w:rPr/>
      </w:pPr>
      <w:r>
        <w:rPr/>
      </w:r>
      <w:r>
        <w:br w:type="page"/>
      </w:r>
    </w:p>
    <w:p>
      <w:pPr>
        <w:pStyle w:val="1"/>
        <w:numPr>
          <w:ilvl w:val="0"/>
          <w:numId w:val="2"/>
        </w:numPr>
        <w:rPr/>
      </w:pPr>
      <w:bookmarkStart w:id="17" w:name="_Toc438117081"/>
      <w:bookmarkStart w:id="18" w:name="_Toc432068035"/>
      <w:r>
        <w:rPr/>
        <w:t>ТЕСТОВЫЕ СЦЕНАРИИ И КОНТОРОЛЬНЫЕ ПРИМЕРЫ</w:t>
      </w:r>
      <w:bookmarkEnd w:id="17"/>
      <w:bookmarkEnd w:id="18"/>
    </w:p>
    <w:p>
      <w:pPr>
        <w:pStyle w:val="2"/>
        <w:numPr>
          <w:ilvl w:val="1"/>
          <w:numId w:val="2"/>
        </w:numPr>
        <w:rPr/>
      </w:pPr>
      <w:bookmarkStart w:id="19" w:name="_Toc438117082"/>
      <w:bookmarkStart w:id="20" w:name="_Toc432068036"/>
      <w:r>
        <w:rPr/>
        <w:t>Тестовые сценарии</w:t>
      </w:r>
      <w:bookmarkEnd w:id="19"/>
      <w:bookmarkEnd w:id="20"/>
    </w:p>
    <w:p>
      <w:pPr>
        <w:pStyle w:val="3"/>
        <w:numPr>
          <w:ilvl w:val="2"/>
          <w:numId w:val="2"/>
        </w:numPr>
        <w:rPr/>
      </w:pPr>
      <w:bookmarkStart w:id="21" w:name="_Toc438117083"/>
      <w:r>
        <w:rPr/>
        <w:t>Сценарий 1: Размещение запроса на предоставление сведений о банковских счетах (депозитах) российской организации</w:t>
      </w:r>
      <w:bookmarkEnd w:id="21"/>
    </w:p>
    <w:p>
      <w:pPr>
        <w:pStyle w:val="Normal"/>
        <w:ind w:firstLine="851"/>
        <w:rPr>
          <w:rFonts w:cs="Times New Roman"/>
        </w:rPr>
      </w:pPr>
      <w:r>
        <w:rPr>
          <w:rFonts w:cs="Times New Roman"/>
        </w:rPr>
      </w:r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//</w:t>
            </w:r>
            <w:r>
              <w:rPr>
                <w:rFonts w:cs="Times New Roman"/>
                <w:sz w:val="20"/>
                <w:szCs w:val="20"/>
                <w:lang w:val="en-US"/>
              </w:rPr>
              <w:t>tns</w:t>
            </w:r>
            <w:r>
              <w:rPr>
                <w:rFonts w:cs="Times New Roman"/>
                <w:sz w:val="20"/>
                <w:szCs w:val="20"/>
              </w:rPr>
              <w:t>:</w:t>
            </w:r>
            <w:r>
              <w:rPr>
                <w:rFonts w:cs="Times New Roman"/>
                <w:sz w:val="20"/>
                <w:szCs w:val="20"/>
                <w:lang w:val="en-US"/>
              </w:rPr>
              <w:t>BankAccOrgRequest</w:t>
            </w:r>
            <w:r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  <w:lang w:val="en-US"/>
              </w:rPr>
              <w:t>tns</w:t>
            </w:r>
            <w:r>
              <w:rPr>
                <w:rFonts w:cs="Times New Roman"/>
                <w:sz w:val="20"/>
                <w:szCs w:val="20"/>
              </w:rPr>
              <w:t>:СвРосОрг[@ИННЮЛ='6164275816']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color w:val="0070C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70C0"/>
                <w:sz w:val="20"/>
                <w:szCs w:val="20"/>
                <w:lang w:val="en-US"/>
              </w:rPr>
              <w:t>tns=urn://x-artefacts-fns-bankaccorg/root/171-03/4.0.2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test_fns-bankaccorg.xsl</w:t>
      </w:r>
    </w:p>
    <w:tbl>
      <w:tblPr>
        <w:tblStyle w:val="TableNormal"/>
        <w:tblW w:w="9385" w:type="dxa"/>
        <w:jc w:val="left"/>
        <w:tblInd w:w="33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0" w:type="dxa"/>
          <w:left w:w="105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СвРосОрг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='6164275816']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1022301071132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616301001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6164275816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[text()='9909123454']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9909123454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[text()='12345']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12345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[text()='00000']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Контрольный пример</w:t>
      </w:r>
    </w:p>
    <w:p>
      <w:pPr>
        <w:pStyle w:val="Normal"/>
        <w:rPr>
          <w:rFonts w:ascii="Helvetica" w:hAnsi="Helvetica" w:asciiTheme="minorHAnsi" w:hAnsiTheme="minorHAnsi"/>
        </w:rPr>
      </w:pPr>
      <w:r>
        <w:rPr>
          <w:rFonts w:asciiTheme="minorHAnsi" w:hAnsiTheme="minorHAnsi" w:ascii="Helvetica" w:hAnsi="Helvetica"/>
        </w:rPr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rFonts w:eastAsia="Times New Roman" w:cs="Times New Roman"/>
                <w:i/>
                <w:i/>
              </w:rPr>
            </w:pPr>
            <w:r>
              <w:rPr>
                <w:rFonts w:cs="Times New Roman"/>
              </w:rPr>
              <w:t>Успешный вызов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//tns:BankAccOrgRequest/tns:СвРосОрг[@ИННЮЛ='6164275816']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test_fns-bankaccorg.xsl</w:t>
            </w:r>
          </w:p>
        </w:tc>
      </w:tr>
    </w:tbl>
    <w:p>
      <w:pPr>
        <w:pStyle w:val="Normal"/>
        <w:spacing w:before="0" w:after="60"/>
        <w:ind w:firstLine="851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3"/>
        <w:numPr>
          <w:ilvl w:val="2"/>
          <w:numId w:val="2"/>
        </w:numPr>
        <w:rPr/>
      </w:pPr>
      <w:bookmarkStart w:id="22" w:name="_Toc438117084"/>
      <w:r>
        <w:rPr/>
        <w:t>Сценарий 2: Размещение запроса на предоставление сведений о банковских счетах (депозитах) российской организации с некорректной датой открытия счета</w:t>
      </w:r>
      <w:bookmarkEnd w:id="22"/>
    </w:p>
    <w:p>
      <w:pPr>
        <w:pStyle w:val="Normal"/>
        <w:ind w:firstLine="851"/>
        <w:rPr>
          <w:rFonts w:cs="Times New Roman"/>
        </w:rPr>
      </w:pPr>
      <w:r>
        <w:rPr>
          <w:rFonts w:cs="Times New Roman"/>
        </w:rPr>
      </w:r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color w:val="000000"/>
                <w:sz w:val="20"/>
                <w:szCs w:val="16"/>
              </w:rPr>
            </w:pPr>
            <w:r>
              <w:rPr>
                <w:rFonts w:cs="Times New Roman"/>
                <w:color w:val="000000"/>
                <w:sz w:val="20"/>
                <w:szCs w:val="16"/>
              </w:rPr>
              <w:t>//</w:t>
            </w:r>
            <w:r>
              <w:rPr>
                <w:rFonts w:cs="Times New Roman"/>
                <w:color w:val="000000"/>
                <w:sz w:val="20"/>
                <w:szCs w:val="16"/>
                <w:lang w:val="en-US"/>
              </w:rPr>
              <w:t>tns</w:t>
            </w:r>
            <w:r>
              <w:rPr>
                <w:rFonts w:cs="Times New Roman"/>
                <w:color w:val="000000"/>
                <w:sz w:val="20"/>
                <w:szCs w:val="16"/>
              </w:rPr>
              <w:t>:</w:t>
            </w:r>
            <w:r>
              <w:rPr>
                <w:rFonts w:cs="Times New Roman"/>
                <w:color w:val="000000"/>
                <w:sz w:val="20"/>
                <w:szCs w:val="16"/>
                <w:lang w:val="en-US"/>
              </w:rPr>
              <w:t>BankAccOrgRequest</w:t>
            </w:r>
            <w:r>
              <w:rPr>
                <w:rFonts w:cs="Times New Roman"/>
                <w:color w:val="000000"/>
                <w:sz w:val="20"/>
                <w:szCs w:val="16"/>
              </w:rPr>
              <w:t>[@ДатаОткрНД='2030-02-12']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color w:val="000000"/>
                <w:sz w:val="20"/>
                <w:szCs w:val="16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16"/>
                <w:lang w:val="en-US"/>
              </w:rPr>
              <w:t>tns=urn://x-artefacts-fns-bankaccorg/root/171-03/4.0.2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test_fns-bankaccorg.xsl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СвРосОрг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='6164275816']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1022301071132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616301001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6164275816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[text()='9909123454']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9909123454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[text()='12345']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12345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[text()='00000']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rPr>
                <w:rFonts w:cs="Times New Roman"/>
                <w:i/>
                <w:i/>
                <w:iCs/>
                <w:sz w:val="16"/>
                <w:szCs w:val="16"/>
              </w:rPr>
            </w:pPr>
            <w:r>
              <w:rPr>
                <w:rFonts w:cs="Times New Roman"/>
                <w:i/>
                <w:iCs/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keepNext w:val="true"/>
        <w:rPr/>
      </w:pPr>
      <w:r>
        <w:rPr/>
        <w:t>Контрольный пример</w:t>
      </w:r>
    </w:p>
    <w:p>
      <w:pPr>
        <w:pStyle w:val="Normal"/>
        <w:keepNext w:val="true"/>
        <w:rPr>
          <w:rFonts w:ascii="Helvetica" w:hAnsi="Helvetica" w:asciiTheme="minorHAnsi" w:hAnsiTheme="minorHAnsi"/>
        </w:rPr>
      </w:pPr>
      <w:r>
        <w:rPr>
          <w:rFonts w:asciiTheme="minorHAnsi" w:hAnsiTheme="minorHAnsi" w:ascii="Helvetica" w:hAnsi="Helvetica"/>
        </w:rPr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Некорректная дата открытия счета (начало диапазона)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//tns:BankAccOrgRequest[@ДатаОткрНД='2030-02-12']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test_fns-bankaccorg.xsl</w:t>
            </w:r>
          </w:p>
        </w:tc>
      </w:tr>
    </w:tbl>
    <w:p>
      <w:pPr>
        <w:pStyle w:val="Normal"/>
        <w:spacing w:before="0" w:after="60"/>
        <w:ind w:firstLine="851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3"/>
        <w:numPr>
          <w:ilvl w:val="2"/>
          <w:numId w:val="2"/>
        </w:numPr>
        <w:rPr/>
      </w:pPr>
      <w:bookmarkStart w:id="23" w:name="_Toc438117085"/>
      <w:r>
        <w:rPr/>
        <w:t>Сценарий 3: Размещение запроса на предоставление сведений о банковских счетах (депозитах) российской организации с указанием ИНН и успешное получение сведений</w:t>
      </w:r>
      <w:bookmarkEnd w:id="23"/>
    </w:p>
    <w:p>
      <w:pPr>
        <w:pStyle w:val="Normal"/>
        <w:ind w:firstLine="851"/>
        <w:rPr>
          <w:rFonts w:cs="Times New Roman"/>
        </w:rPr>
      </w:pPr>
      <w:r>
        <w:rPr>
          <w:rFonts w:cs="Times New Roman"/>
        </w:rPr>
      </w:r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//tns:BankAccOrgRequest/tns:</w:t>
            </w:r>
            <w:r>
              <w:rPr>
                <w:sz w:val="20"/>
              </w:rPr>
              <w:t>СвИнОрг</w:t>
            </w:r>
            <w:r>
              <w:rPr>
                <w:sz w:val="20"/>
                <w:lang w:val="en-US"/>
              </w:rPr>
              <w:t>/tns:</w:t>
            </w:r>
            <w:r>
              <w:rPr>
                <w:sz w:val="20"/>
              </w:rPr>
              <w:t>ИННЮЛ</w:t>
            </w:r>
            <w:r>
              <w:rPr>
                <w:sz w:val="20"/>
                <w:lang w:val="en-US"/>
              </w:rPr>
              <w:t>[text()='9909123454']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</w:tr>
    </w:tbl>
    <w:p>
      <w:pPr>
        <w:pStyle w:val="Normal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test_fns-bankaccorg.xsl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СвРосОрг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='6164275816']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1022301071132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616301001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6164275816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[text()='9909123454']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9909123454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[text()='12345']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12345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[text()='00000']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Контрольный пример</w:t>
      </w:r>
    </w:p>
    <w:p>
      <w:pPr>
        <w:pStyle w:val="Normal"/>
        <w:rPr>
          <w:rFonts w:ascii="Helvetica" w:hAnsi="Helvetica" w:asciiTheme="minorHAnsi" w:hAnsiTheme="minorHAnsi"/>
        </w:rPr>
      </w:pPr>
      <w:r>
        <w:rPr>
          <w:rFonts w:asciiTheme="minorHAnsi" w:hAnsiTheme="minorHAnsi" w:ascii="Helvetica" w:hAnsi="Helvetica"/>
        </w:rPr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Успешный вызов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//tns:BankAccOrgRequest/tns:</w:t>
            </w:r>
            <w:r>
              <w:rPr>
                <w:sz w:val="20"/>
              </w:rPr>
              <w:t>СвИнОрг</w:t>
            </w:r>
            <w:r>
              <w:rPr>
                <w:sz w:val="20"/>
                <w:lang w:val="en-US"/>
              </w:rPr>
              <w:t>/tns:</w:t>
            </w:r>
            <w:r>
              <w:rPr>
                <w:sz w:val="20"/>
              </w:rPr>
              <w:t>ИННЮЛ</w:t>
            </w:r>
            <w:r>
              <w:rPr>
                <w:sz w:val="20"/>
                <w:lang w:val="en-US"/>
              </w:rPr>
              <w:t>[text()='9909123454']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test_fns-bankaccorg.xsl</w:t>
            </w:r>
          </w:p>
        </w:tc>
      </w:tr>
    </w:tbl>
    <w:p>
      <w:pPr>
        <w:pStyle w:val="Normal"/>
        <w:spacing w:before="0" w:after="60"/>
        <w:ind w:firstLine="851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3"/>
        <w:numPr>
          <w:ilvl w:val="2"/>
          <w:numId w:val="2"/>
        </w:numPr>
        <w:rPr/>
      </w:pPr>
      <w:bookmarkStart w:id="24" w:name="_Toc438117086"/>
      <w:r>
        <w:rPr/>
        <w:t>Сценарий 4: Размещение запроса на предоставление сведений о банковских счетах (депозитах) иностранной организации c неверным контрольным разрядом ИНН</w:t>
      </w:r>
      <w:bookmarkEnd w:id="24"/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//tns:BankAccOrgRequest/tns:</w:t>
            </w:r>
            <w:r>
              <w:rPr>
                <w:rFonts w:cs="Times New Roman"/>
                <w:sz w:val="20"/>
                <w:szCs w:val="20"/>
              </w:rPr>
              <w:t>СвИнОрг</w:t>
            </w:r>
            <w:r>
              <w:rPr>
                <w:rFonts w:cs="Times New Roman"/>
                <w:sz w:val="20"/>
                <w:szCs w:val="20"/>
                <w:lang w:val="en-US"/>
              </w:rPr>
              <w:t>/tns:</w:t>
            </w:r>
            <w:r>
              <w:rPr>
                <w:rFonts w:cs="Times New Roman"/>
                <w:sz w:val="20"/>
                <w:szCs w:val="20"/>
              </w:rPr>
              <w:t>ИННЮЛ</w:t>
            </w:r>
            <w:r>
              <w:rPr>
                <w:rFonts w:cs="Times New Roman"/>
                <w:sz w:val="20"/>
                <w:szCs w:val="20"/>
                <w:lang w:val="en-US"/>
              </w:rPr>
              <w:t>[text()='9909123450']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rFonts w:cs="Times New Roman"/>
                <w:color w:val="0070C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70C0"/>
                <w:sz w:val="20"/>
                <w:szCs w:val="20"/>
                <w:lang w:val="en-US"/>
              </w:rPr>
              <w:t>tns=urn://x-artefacts-fns-bankaccorg/root/171-03/4.0.2</w:t>
            </w:r>
          </w:p>
        </w:tc>
      </w:tr>
    </w:tbl>
    <w:p>
      <w:pPr>
        <w:pStyle w:val="Normal"/>
        <w:ind w:firstLine="851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test_fns-bankaccorg.xsl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СвРосОрг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='6164275816']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1022301071132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616301001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6164275816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[text()='9909123454']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9909123454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[text()='12345']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12345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[text()='00000']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keepNext w:val="true"/>
        <w:spacing w:before="0" w:after="60"/>
        <w:ind w:firstLine="709"/>
        <w:rPr/>
      </w:pPr>
      <w:r>
        <w:rPr/>
        <w:t>Контрольный пример</w:t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Неверный контрольный разряд ИНН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//tns:BankAccOrgRequest/tns:</w:t>
            </w:r>
            <w:r>
              <w:rPr>
                <w:sz w:val="20"/>
              </w:rPr>
              <w:t>СвИнОрг</w:t>
            </w:r>
            <w:r>
              <w:rPr>
                <w:sz w:val="20"/>
                <w:lang w:val="en-US"/>
              </w:rPr>
              <w:t>/tns:</w:t>
            </w:r>
            <w:r>
              <w:rPr>
                <w:sz w:val="20"/>
              </w:rPr>
              <w:t>ИННЮЛ</w:t>
            </w:r>
            <w:r>
              <w:rPr>
                <w:sz w:val="20"/>
                <w:lang w:val="en-US"/>
              </w:rPr>
              <w:t>[text()='9909123450']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test_fns-bankaccorg.xsl</w:t>
            </w:r>
          </w:p>
        </w:tc>
      </w:tr>
    </w:tbl>
    <w:p>
      <w:pPr>
        <w:pStyle w:val="Normal"/>
        <w:ind w:firstLine="851"/>
        <w:rPr/>
      </w:pPr>
      <w:r>
        <w:rPr/>
      </w:r>
    </w:p>
    <w:p>
      <w:pPr>
        <w:pStyle w:val="Normal"/>
        <w:ind w:firstLine="851"/>
        <w:rPr/>
      </w:pPr>
      <w:r>
        <w:rPr/>
      </w:r>
    </w:p>
    <w:p>
      <w:pPr>
        <w:pStyle w:val="3"/>
        <w:numPr>
          <w:ilvl w:val="2"/>
          <w:numId w:val="2"/>
        </w:numPr>
        <w:rPr/>
      </w:pPr>
      <w:bookmarkStart w:id="25" w:name="_Toc438117087"/>
      <w:r>
        <w:rPr/>
        <w:t>Сценарий 5: Размещение запроса на предоставление сведений о банковских счетах (депозитах) иностранной организации с указанием КИО и успешное получение сведений</w:t>
      </w:r>
      <w:bookmarkEnd w:id="25"/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//tns:BankAccOrgRequest/tns:</w:t>
            </w:r>
            <w:r>
              <w:rPr>
                <w:sz w:val="20"/>
              </w:rPr>
              <w:t>СвИнОрг</w:t>
            </w:r>
            <w:r>
              <w:rPr>
                <w:sz w:val="20"/>
                <w:lang w:val="en-US"/>
              </w:rPr>
              <w:t>/tns:</w:t>
            </w:r>
            <w:r>
              <w:rPr>
                <w:sz w:val="20"/>
              </w:rPr>
              <w:t>КИО</w:t>
            </w:r>
            <w:r>
              <w:rPr>
                <w:sz w:val="20"/>
                <w:lang w:val="en-US"/>
              </w:rPr>
              <w:t>[text()='12345']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</w:tr>
    </w:tbl>
    <w:p>
      <w:pPr>
        <w:pStyle w:val="Normal"/>
        <w:ind w:firstLine="851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test_fns-bankaccorg.xsl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СвРосОрг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='6164275816']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1022301071132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616301001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6164275816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[text()='9909123454']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9909123454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[text()='12345']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12345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[text()='00000']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keepNext w:val="true"/>
        <w:spacing w:before="0" w:after="60"/>
        <w:ind w:firstLine="709"/>
        <w:rPr/>
      </w:pPr>
      <w:r>
        <w:rPr/>
        <w:t>Контрольный пример</w:t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Успешный вызов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//tns:BankAccOrgRequest/tns:</w:t>
            </w:r>
            <w:r>
              <w:rPr>
                <w:sz w:val="20"/>
              </w:rPr>
              <w:t>СвИнОрг</w:t>
            </w:r>
            <w:r>
              <w:rPr>
                <w:sz w:val="20"/>
                <w:lang w:val="en-US"/>
              </w:rPr>
              <w:t>/tns:</w:t>
            </w:r>
            <w:r>
              <w:rPr>
                <w:sz w:val="20"/>
              </w:rPr>
              <w:t>КИО</w:t>
            </w:r>
            <w:r>
              <w:rPr>
                <w:sz w:val="20"/>
                <w:lang w:val="en-US"/>
              </w:rPr>
              <w:t>[text()='12345']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test_fns-bankaccorg.xsl</w:t>
            </w:r>
          </w:p>
        </w:tc>
      </w:tr>
    </w:tbl>
    <w:p>
      <w:pPr>
        <w:pStyle w:val="Normal"/>
        <w:ind w:firstLine="851"/>
        <w:rPr/>
      </w:pPr>
      <w:r>
        <w:rPr/>
      </w:r>
    </w:p>
    <w:p>
      <w:pPr>
        <w:pStyle w:val="3"/>
        <w:numPr>
          <w:ilvl w:val="2"/>
          <w:numId w:val="2"/>
        </w:numPr>
        <w:rPr/>
      </w:pPr>
      <w:bookmarkStart w:id="26" w:name="_Toc438117088"/>
      <w:r>
        <w:rPr/>
        <w:t>Сценарий 6: Размещение запроса на предоставление сведений о банковских счетах (депозитах) иностранной организации с указанием несуществующего КИО</w:t>
      </w:r>
      <w:bookmarkEnd w:id="26"/>
    </w:p>
    <w:tbl>
      <w:tblPr>
        <w:tblStyle w:val="ac"/>
        <w:tblW w:w="93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36"/>
        <w:gridCol w:w="5134"/>
      </w:tblGrid>
      <w:tr>
        <w:trPr>
          <w:trHeight w:val="493" w:hRule="atLeast"/>
        </w:trPr>
        <w:tc>
          <w:tcPr>
            <w:tcW w:w="4236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tcBorders/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>
        <w:trPr>
          <w:trHeight w:val="557" w:hRule="atLeast"/>
        </w:trPr>
        <w:tc>
          <w:tcPr>
            <w:tcW w:w="4236" w:type="dxa"/>
            <w:tcBorders/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//tns:BankAccOrgRequest/tns:</w:t>
            </w:r>
            <w:r>
              <w:rPr>
                <w:sz w:val="20"/>
              </w:rPr>
              <w:t>СвИнОрг</w:t>
            </w:r>
            <w:r>
              <w:rPr>
                <w:sz w:val="20"/>
                <w:lang w:val="en-US"/>
              </w:rPr>
              <w:t>/tns:</w:t>
            </w:r>
            <w:r>
              <w:rPr>
                <w:sz w:val="20"/>
              </w:rPr>
              <w:t>КИО</w:t>
            </w:r>
            <w:r>
              <w:rPr>
                <w:sz w:val="20"/>
                <w:lang w:val="en-US"/>
              </w:rPr>
              <w:t>[text()='00000']</w:t>
            </w:r>
          </w:p>
        </w:tc>
        <w:tc>
          <w:tcPr>
            <w:tcW w:w="5134" w:type="dxa"/>
            <w:tcBorders/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</w:tr>
    </w:tbl>
    <w:p>
      <w:pPr>
        <w:pStyle w:val="Normal"/>
        <w:ind w:firstLine="851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60"/>
        <w:ind w:firstLine="709"/>
        <w:rPr>
          <w:rFonts w:cs="Times New Roman"/>
        </w:rPr>
      </w:pPr>
      <w:r>
        <w:rPr>
          <w:rFonts w:cs="Times New Roman"/>
        </w:rPr>
        <w:t xml:space="preserve">Наименование </w:t>
      </w:r>
      <w:r>
        <w:rPr>
          <w:rFonts w:cs="Times New Roman"/>
          <w:lang w:val="en-US"/>
        </w:rPr>
        <w:t>XSL</w:t>
      </w:r>
      <w:r>
        <w:rPr>
          <w:rFonts w:cs="Times New Roman"/>
        </w:rPr>
        <w:t>-файла, используемого для генерации автоматического ответа в данном сценарии: test_fns-bankaccorg.xsl</w:t>
      </w:r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2" w:space="0" w:color="000001"/>
          <w:right w:val="single" w:sz="4" w:space="0" w:color="000001"/>
          <w:insideH w:val="single" w:sz="2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9385"/>
      </w:tblGrid>
      <w:tr>
        <w:trPr>
          <w:trHeight w:val="567" w:hRule="atLeast"/>
        </w:trPr>
        <w:tc>
          <w:tcPr>
            <w:tcW w:w="938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8080"/>
                <w:sz w:val="16"/>
                <w:szCs w:val="16"/>
                <w:highlight w:val="white"/>
                <w:lang w:val="en-US"/>
              </w:rPr>
              <w:t>&lt;?xml version="1.0" encoding="UTF-8"?&gt;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xsl:stylesheet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http://www.w3.org/1999/XSL/Transform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xmlns:xs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http://www.w3.org/2001/XMLSchema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version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2.0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xmlns:tns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xsl:output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method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xml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"/&gt;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xsl:template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match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tns:BankAccOrgRequest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tns:BankAccOrgResponse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namespace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urn://x-artefacts-fns-bankaccorg/root/171-03/4.0.2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ДатаОткрНД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='2030-02-12']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СвРосОрг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[@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='6164275816']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1022301071132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КПП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616301001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6164275816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[text()='9909123454']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9909123454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ДатаЗакр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2015-05-15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40702ABC938090001069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[text()='9909123450']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56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[text()='12345']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БанкСчетОрг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ПерДатаНач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2014-02-12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ПерДатаКон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2015-11-04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НаимОрг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ОБЩЕСТВО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ОГРАНИЧЕННОЙ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ОТВЕТСВЕННОСТЬЮ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 &amp;quot;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НАРТ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&amp;quot;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12345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НаимБанк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НИЖЕГОРОДСКИЙ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ФИЛИАЛ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НОМОС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-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БАНКА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 xml:space="preserve"> (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ОАО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)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БанкКГРКО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2209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ФилКГРКО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0004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БИК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046015262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ИННЮЛБанк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7717131553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СведСчет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ДатаОткр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2015-02-12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ВидСчет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расчетный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СостСчет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1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НомСчет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40807810700310000008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xsl:attribute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test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/tns:BankAccOrgRequest/tns: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СвИнОрг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/tns: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</w:rPr>
              <w:t>КИО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[text()='00000']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xsl:when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FF0000"/>
                <w:sz w:val="16"/>
                <w:szCs w:val="16"/>
                <w:highlight w:val="white"/>
                <w:lang w:val="en-US"/>
              </w:rPr>
              <w:t xml:space="preserve"> name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="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tns:TreatmentCode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"&gt;</w:t>
            </w: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>02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xsl:otherwise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xsl:choose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  <w:lang w:val="en-US"/>
              </w:rPr>
              <w:t>xsl:element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  <w:lang w:val="en-US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highlight w:val="white"/>
                <w:lang w:val="en-US"/>
              </w:rPr>
              <w:tab/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xsl:template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  <w:p>
            <w:pPr>
              <w:pStyle w:val="Normal"/>
              <w:pBdr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&lt;/</w:t>
            </w:r>
            <w:r>
              <w:rPr>
                <w:rFonts w:cs="Arial" w:ascii="Arial" w:hAnsi="Arial"/>
                <w:color w:val="800000"/>
                <w:sz w:val="16"/>
                <w:szCs w:val="16"/>
                <w:highlight w:val="white"/>
              </w:rPr>
              <w:t>xsl:stylesheet</w:t>
            </w:r>
            <w:r>
              <w:rPr>
                <w:rFonts w:cs="Arial" w:ascii="Arial" w:hAnsi="Arial"/>
                <w:color w:val="0000FF"/>
                <w:sz w:val="16"/>
                <w:szCs w:val="16"/>
                <w:highlight w:val="white"/>
              </w:rPr>
              <w:t>&gt;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keepNext w:val="true"/>
        <w:spacing w:before="0" w:after="60"/>
        <w:ind w:firstLine="709"/>
        <w:rPr/>
      </w:pPr>
      <w:r>
        <w:rPr/>
        <w:t>Контрольный пример</w:t>
      </w:r>
    </w:p>
    <w:tbl>
      <w:tblPr>
        <w:tblW w:w="9371" w:type="dxa"/>
        <w:jc w:val="left"/>
        <w:tblInd w:w="93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8"/>
        <w:gridCol w:w="2551"/>
        <w:gridCol w:w="3118"/>
        <w:gridCol w:w="1843"/>
      </w:tblGrid>
      <w:tr>
        <w:trPr>
          <w:trHeight w:val="765" w:hRule="atLeast"/>
        </w:trPr>
        <w:tc>
          <w:tcPr>
            <w:tcW w:w="18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1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1"/>
              <w:bottom w:val="single" w:sz="4" w:space="0" w:color="00000A"/>
              <w:right w:val="single" w:sz="8" w:space="0" w:color="000001"/>
              <w:insideH w:val="single" w:sz="4" w:space="0" w:color="00000A"/>
              <w:insideV w:val="single" w:sz="8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rFonts w:eastAsia="Times New Roman" w:cs="Times New Roman"/>
                <w:b/>
                <w:b/>
              </w:rPr>
            </w:pPr>
            <w:r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>
        <w:trPr>
          <w:trHeight w:val="821" w:hRule="atLeast"/>
        </w:trPr>
        <w:tc>
          <w:tcPr>
            <w:tcW w:w="1858" w:type="dxa"/>
            <w:tcBorders>
              <w:left w:val="single" w:sz="8" w:space="0" w:color="000001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Сведения об организации не найдены</w:t>
            </w:r>
          </w:p>
        </w:tc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//tns:BankAccOrgRequest/tns:</w:t>
            </w:r>
            <w:r>
              <w:rPr>
                <w:sz w:val="20"/>
              </w:rPr>
              <w:t>СвИнОрг</w:t>
            </w:r>
            <w:r>
              <w:rPr>
                <w:sz w:val="20"/>
                <w:lang w:val="en-US"/>
              </w:rPr>
              <w:t>/tns:</w:t>
            </w:r>
            <w:r>
              <w:rPr>
                <w:sz w:val="20"/>
              </w:rPr>
              <w:t>КИО</w:t>
            </w:r>
            <w:r>
              <w:rPr>
                <w:sz w:val="20"/>
                <w:lang w:val="en-US"/>
              </w:rPr>
              <w:t>[text()='00000']</w:t>
            </w:r>
          </w:p>
        </w:tc>
        <w:tc>
          <w:tcPr>
            <w:tcW w:w="31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tns=urn://x-artefacts-fns-bankaccorg/root/171-03/4.0.2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test_fns-bankaccorg.xsl</w:t>
            </w:r>
          </w:p>
        </w:tc>
      </w:tr>
    </w:tbl>
    <w:p>
      <w:pPr>
        <w:pStyle w:val="Normal"/>
        <w:ind w:firstLine="851"/>
        <w:rPr/>
      </w:pPr>
      <w:r>
        <w:rPr/>
      </w:r>
    </w:p>
    <w:p>
      <w:pPr>
        <w:pStyle w:val="Normal"/>
        <w:ind w:firstLine="851"/>
        <w:rPr/>
      </w:pPr>
      <w:r>
        <w:rPr/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418" w:right="748" w:header="709" w:top="1134" w:footer="709" w:bottom="1134" w:gutter="0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ind w:firstLine="851"/>
        <w:rPr/>
      </w:pPr>
      <w:r>
        <w:rPr/>
      </w:r>
    </w:p>
    <w:p>
      <w:pPr>
        <w:pStyle w:val="1"/>
        <w:numPr>
          <w:ilvl w:val="0"/>
          <w:numId w:val="2"/>
        </w:numPr>
        <w:rPr/>
      </w:pPr>
      <w:bookmarkStart w:id="29" w:name="_Toc438117089"/>
      <w:bookmarkStart w:id="30" w:name="_Toc432068038"/>
      <w:r>
        <w:rPr/>
        <w:t>СОСТАВ ПЕРЕДАВАЕМОЙ ИНФОРМАЦИИ</w:t>
      </w:r>
      <w:bookmarkEnd w:id="29"/>
      <w:bookmarkEnd w:id="30"/>
    </w:p>
    <w:p>
      <w:pPr>
        <w:pStyle w:val="2"/>
        <w:numPr>
          <w:ilvl w:val="1"/>
          <w:numId w:val="2"/>
        </w:numPr>
        <w:rPr/>
      </w:pPr>
      <w:bookmarkStart w:id="31" w:name="_Toc438117090"/>
      <w:bookmarkStart w:id="32" w:name="_Toc432068039"/>
      <w:r>
        <w:rPr>
          <w:rFonts w:eastAsia="Helvetica" w:cs="Helvetica" w:cstheme="majorBidi" w:eastAsiaTheme="majorEastAsia"/>
        </w:rPr>
        <w:t>Описание</w:t>
      </w:r>
      <w:r>
        <w:rPr>
          <w:rFonts w:eastAsia="Arial Unicode MS"/>
        </w:rPr>
        <w:t xml:space="preserve"> полей запроса</w:t>
      </w:r>
      <w:bookmarkEnd w:id="31"/>
      <w:bookmarkEnd w:id="32"/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538"/>
        <w:gridCol w:w="1985"/>
        <w:gridCol w:w="2410"/>
        <w:gridCol w:w="850"/>
        <w:gridCol w:w="1277"/>
        <w:gridCol w:w="2324"/>
      </w:tblGrid>
      <w:tr>
        <w:trPr>
          <w:trHeight w:val="662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b w:val="false"/>
                <w:b w:val="false"/>
              </w:rPr>
            </w:pPr>
            <w:r>
              <w:rPr>
                <w:b w:val="false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Треб. к заполн.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Способ заполнения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>
        <w:trPr>
          <w:trHeight w:val="652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ДатаОткрНД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 открытия счета (депозита) - начало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Style w:val="FootnoteCharacters"/>
                <w:rStyle w:val="Style12"/>
                <w:rFonts w:cs="Times New Roman"/>
                <w:sz w:val="20"/>
                <w:szCs w:val="20"/>
              </w:rPr>
              <w:footnoteReference w:id="2"/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>
        <w:trPr>
          <w:trHeight w:val="834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ДатаОткрКД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 открытия счета (депозита) - конец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>
        <w:trPr>
          <w:trHeight w:val="498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СостСчет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состояния счета (депозита)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НК</w:t>
            </w:r>
            <w:r>
              <w:rPr>
                <w:rStyle w:val="FootnoteCharacters"/>
                <w:rStyle w:val="Style12"/>
                <w:iCs/>
                <w:sz w:val="20"/>
                <w:szCs w:val="20"/>
              </w:rPr>
              <w:footnoteReference w:id="3"/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T(=1) /A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Принимает значение:</w:t>
            </w:r>
          </w:p>
          <w:p>
            <w:pPr>
              <w:pStyle w:val="Normal"/>
              <w:ind w:left="62" w:hanging="62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 – счет (депозит) закрыт  |1 – счет (депозит) открыт</w:t>
            </w:r>
          </w:p>
        </w:tc>
      </w:tr>
      <w:tr>
        <w:trPr>
          <w:trHeight w:val="55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СвРосОрг</w:t>
            </w:r>
            <w:r>
              <w:rPr>
                <w:sz w:val="20"/>
                <w:szCs w:val="22"/>
                <w:lang w:val="en-US"/>
              </w:rPr>
              <w:t>|</w:t>
            </w:r>
          </w:p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  <w:p>
            <w:pPr>
              <w:pStyle w:val="Normal"/>
              <w:jc w:val="center"/>
              <w:rPr>
                <w:sz w:val="20"/>
                <w:szCs w:val="22"/>
                <w:lang w:val="en-US"/>
              </w:rPr>
            </w:pPr>
            <w:r>
              <w:rPr>
                <w:sz w:val="20"/>
                <w:szCs w:val="22"/>
              </w:rPr>
              <w:t>СвИнОрг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Сведения о российской организации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Сведения об иностранной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</w:t>
            </w:r>
            <w:r>
              <w:rPr>
                <w:rStyle w:val="Style12"/>
                <w:iCs/>
                <w:sz w:val="22"/>
                <w:szCs w:val="20"/>
                <w:vertAlign w:val="superscript"/>
              </w:rPr>
              <w:footnoteReference w:id="4"/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Составной элемент, описание дано в пункте 4.3</w:t>
            </w:r>
          </w:p>
        </w:tc>
      </w:tr>
    </w:tbl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/>
      </w:pPr>
      <w:bookmarkStart w:id="33" w:name="_Toc438117091"/>
      <w:bookmarkStart w:id="34" w:name="_Toc432068040"/>
      <w:r>
        <w:rPr>
          <w:rFonts w:eastAsia="Helvetica" w:eastAsiaTheme="majorEastAsia"/>
        </w:rPr>
        <w:t>Описание</w:t>
      </w:r>
      <w:r>
        <w:rPr>
          <w:rFonts w:eastAsia="Arial Unicode MS"/>
        </w:rPr>
        <w:t xml:space="preserve"> полей ответа на запрос</w:t>
      </w:r>
      <w:bookmarkEnd w:id="33"/>
      <w:bookmarkEnd w:id="34"/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407"/>
        <w:gridCol w:w="2117"/>
        <w:gridCol w:w="2410"/>
        <w:gridCol w:w="850"/>
        <w:gridCol w:w="1277"/>
        <w:gridCol w:w="2323"/>
      </w:tblGrid>
      <w:tr>
        <w:trPr>
          <w:trHeight w:val="662" w:hRule="atLeast"/>
        </w:trPr>
        <w:tc>
          <w:tcPr>
            <w:tcW w:w="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№</w:t>
            </w:r>
          </w:p>
        </w:tc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Треб. к заполн.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Способ заполнения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 xml:space="preserve">Комментарий </w:t>
            </w:r>
          </w:p>
        </w:tc>
      </w:tr>
      <w:tr>
        <w:trPr>
          <w:trHeight w:val="924" w:hRule="atLeast"/>
        </w:trPr>
        <w:tc>
          <w:tcPr>
            <w:tcW w:w="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БанкСчетОрг</w:t>
            </w:r>
            <w:r>
              <w:rPr>
                <w:rFonts w:cs="Times New Roman"/>
                <w:sz w:val="20"/>
                <w:szCs w:val="20"/>
                <w:lang w:val="en-US"/>
              </w:rPr>
              <w:t>|</w:t>
            </w:r>
          </w:p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TreatmentCode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Сведения о банковских счетах организации   |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Код обработки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ОК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T(=2) /П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Составной элемент, описание дано в пункте 4.3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Принимает значения: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01 - </w:t>
            </w:r>
            <w:r>
              <w:rPr>
                <w:sz w:val="20"/>
                <w:szCs w:val="20"/>
              </w:rPr>
              <w:t>Запрашиваемые сведения не найдены;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02 - Сведения об организации не найдены;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10 - </w:t>
            </w:r>
            <w:r>
              <w:rPr>
                <w:sz w:val="20"/>
                <w:szCs w:val="20"/>
              </w:rPr>
              <w:t>Организация определена неоднозначно;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55 - </w:t>
            </w:r>
            <w:r>
              <w:rPr>
                <w:sz w:val="20"/>
                <w:szCs w:val="20"/>
              </w:rPr>
              <w:t>Недопустимое значение даты;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56 - Неверный контрольный разряд ИНН;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57 - </w:t>
            </w:r>
            <w:r>
              <w:rPr>
                <w:sz w:val="20"/>
                <w:szCs w:val="20"/>
              </w:rPr>
              <w:t>Недопустимый диапазон дат</w:t>
            </w:r>
          </w:p>
        </w:tc>
      </w:tr>
    </w:tbl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35" w:name="_Toc438117092"/>
      <w:bookmarkStart w:id="36" w:name="_Toc432068041"/>
      <w:r>
        <w:rPr>
          <w:rFonts w:eastAsia="Helvetica" w:eastAsiaTheme="majorEastAsia"/>
        </w:rPr>
        <w:t>Описание</w:t>
      </w:r>
      <w:r>
        <w:rPr>
          <w:rFonts w:eastAsia="Arial Unicode MS"/>
        </w:rPr>
        <w:t xml:space="preserve"> комплексных типов полей (при наличии)</w:t>
      </w:r>
      <w:bookmarkEnd w:id="35"/>
      <w:bookmarkEnd w:id="36"/>
    </w:p>
    <w:tbl>
      <w:tblPr>
        <w:tblStyle w:val="TableNormal"/>
        <w:tblW w:w="9385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538"/>
        <w:gridCol w:w="1985"/>
        <w:gridCol w:w="2410"/>
        <w:gridCol w:w="850"/>
        <w:gridCol w:w="1277"/>
        <w:gridCol w:w="2324"/>
      </w:tblGrid>
      <w:tr>
        <w:trPr>
          <w:trHeight w:val="79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Треб. к заполн.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/>
            </w:pPr>
            <w:r>
              <w:rPr>
                <w:sz w:val="20"/>
                <w:szCs w:val="20"/>
              </w:rPr>
              <w:t>Способ заполнения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cs="Times New Roman" w:ascii="Times New Roman" w:hAnsi="Times New Roman"/>
                <w:color w:val="00000A"/>
                <w:sz w:val="20"/>
                <w:szCs w:val="20"/>
              </w:rPr>
              <w:t xml:space="preserve">Комментарий </w:t>
            </w:r>
          </w:p>
        </w:tc>
      </w:tr>
      <w:tr>
        <w:trPr>
          <w:trHeight w:val="120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  <w:lang w:val="en-US"/>
              </w:rPr>
              <w:t>1</w:t>
            </w:r>
            <w:r>
              <w:rPr>
                <w:rFonts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2"/>
              </w:rPr>
              <w:t>СвРосОрг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Сведения о российской организации </w:t>
            </w:r>
          </w:p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</w:tr>
      <w:tr>
        <w:trPr>
          <w:trHeight w:val="120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  <w:r>
              <w:rPr>
                <w:rFonts w:cs="Times New Roman"/>
                <w:iCs/>
                <w:sz w:val="20"/>
                <w:szCs w:val="20"/>
                <w:lang w:val="en-US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ИННЮЛ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T(=10)/А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&lt;LegalPersonINNType&gt;</w:t>
            </w:r>
          </w:p>
        </w:tc>
      </w:tr>
      <w:tr>
        <w:trPr>
          <w:trHeight w:val="120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T(=9)/А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&lt;KPPType&gt;</w:t>
            </w:r>
          </w:p>
        </w:tc>
      </w:tr>
      <w:tr>
        <w:trPr>
          <w:trHeight w:val="68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T(=13)/А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&lt;OGRNCompanyType&gt;</w:t>
            </w:r>
          </w:p>
        </w:tc>
      </w:tr>
      <w:tr>
        <w:trPr>
          <w:trHeight w:val="668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2"/>
              </w:rPr>
              <w:t>СвИнОрг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2"/>
              </w:rPr>
              <w:t>Сведения об иностранной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</w:r>
          </w:p>
        </w:tc>
      </w:tr>
      <w:tr>
        <w:trPr>
          <w:trHeight w:val="52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Cs w:val="22"/>
              </w:rPr>
            </w:pPr>
            <w:r>
              <w:rPr>
                <w:szCs w:val="22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Cs w:val="22"/>
              </w:rPr>
            </w:pPr>
            <w:r>
              <w:rPr>
                <w:szCs w:val="22"/>
              </w:rPr>
              <w:t>КПП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Cs w:val="22"/>
              </w:rPr>
            </w:pPr>
            <w:r>
              <w:rPr>
                <w:szCs w:val="22"/>
              </w:rPr>
              <w:t>T(=9)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&lt;KPPType&gt;</w:t>
            </w:r>
          </w:p>
        </w:tc>
      </w:tr>
      <w:tr>
        <w:trPr>
          <w:trHeight w:val="960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ИННЮЛ  |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6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КИО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организации 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6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иностранной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T(=10) /П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6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T(=5) /П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&lt;LegalPersonINNType&gt;</w:t>
            </w:r>
          </w:p>
        </w:tc>
      </w:tr>
      <w:tr>
        <w:trPr>
          <w:trHeight w:val="381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БанкСчетОрг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Сведения о банковских счетах организации   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</w:r>
          </w:p>
        </w:tc>
      </w:tr>
      <w:tr>
        <w:trPr>
          <w:trHeight w:val="54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ПерДатаНач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- начало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>
        <w:trPr>
          <w:trHeight w:val="38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ПерДатаКон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- конец диапазона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>
        <w:trPr>
          <w:trHeight w:val="393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T(=9)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&lt;KPPType&gt;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3.4.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T(=13)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&lt;OGRNCompanyType&gt;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3.5.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НаимОрг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T(1-1000)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3.6.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ИННЮЛ |</w:t>
            </w:r>
          </w:p>
          <w:p>
            <w:pPr>
              <w:pStyle w:val="Normal"/>
              <w:spacing w:before="6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КИО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организации</w:t>
            </w:r>
          </w:p>
          <w:p>
            <w:pPr>
              <w:pStyle w:val="Normal"/>
              <w:spacing w:before="6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иностранной организации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  <w:p>
            <w:pPr>
              <w:pStyle w:val="Normal"/>
              <w:spacing w:before="60" w:after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T(=10) /А</w:t>
            </w:r>
          </w:p>
          <w:p>
            <w:pPr>
              <w:pStyle w:val="Normal"/>
              <w:spacing w:before="6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T(=5)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&lt;LegalPersonINNType&gt;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b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3.7.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СведБанк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 о банке (филиале банка), учреждении Банка России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ОМ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Составной элемент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3.7.1.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БанкКГРКО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банка по Книге государственной регистрации кредитных организаций (далее - КГРКО)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T(1-4)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обязателен к заполнению для банков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ФилКГРКО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Порядковый номер филиала банка по КГРКО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T(1-4)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 обязателен к заполнению для банков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банка (филиала банка), учреждения Банка России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T(=9)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3.7.4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НаимБанк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Сокращенное наименование банка (филиала банка), учреждения Банка России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T(1-255)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3.7.5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ИННЮЛБанк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банка, Банка России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T(=10)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&lt;LegalPersonINNType&gt;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3.7.6.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 о счетах (депозитах)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ОМ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Составной элемент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3.7.6.1.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НомСчет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Номер счета (депозита)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T(1-20)</w:t>
            </w:r>
            <w:r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rFonts w:cs="Times New Roman"/>
                <w:b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3.7.6.2.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ДатаОткр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 открытия счета (депозита)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3.7.6.3.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ДатаИзм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 изменения счета (депозита)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3.7.6.4.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ДатаЗакр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Дата закрытия счета (депозита)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Н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Типовой элемент &lt;xs:date&gt;.</w:t>
            </w:r>
          </w:p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Дата в формате ГГГГ-ММ-ДД 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3.7.6.5.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СостСчет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Код состояния счета (депозита)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ОК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T(=1)</w:t>
            </w:r>
            <w:r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Принимает значение:</w:t>
            </w:r>
          </w:p>
          <w:p>
            <w:pPr>
              <w:pStyle w:val="Normal"/>
              <w:ind w:left="340" w:hanging="34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 – счет (депозит) закрыт  |</w:t>
            </w:r>
          </w:p>
          <w:p>
            <w:pPr>
              <w:pStyle w:val="Normal"/>
              <w:ind w:left="340" w:hanging="34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 – счет (депозит) открыт</w:t>
            </w:r>
          </w:p>
        </w:tc>
      </w:tr>
      <w:tr>
        <w:trPr>
          <w:trHeight w:val="415" w:hRule="atLeast"/>
        </w:trPr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iCs/>
                <w:sz w:val="20"/>
                <w:szCs w:val="20"/>
              </w:rPr>
              <w:t>3.7.6.6.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ВидСчет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Вид счета (депозита)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T(1-25)</w:t>
            </w:r>
            <w:r>
              <w:rPr>
                <w:sz w:val="20"/>
                <w:szCs w:val="20"/>
              </w:rPr>
              <w:t xml:space="preserve"> /А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ind w:left="340" w:hanging="34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37" w:name="_Toc438117093"/>
      <w:bookmarkStart w:id="38" w:name="_Toc432068042"/>
      <w:r>
        <w:rPr>
          <w:rFonts w:eastAsia="Arial Unicode MS"/>
        </w:rPr>
        <w:t xml:space="preserve">Описание </w:t>
      </w:r>
      <w:r>
        <w:rPr>
          <w:rFonts w:eastAsia="Helvetica" w:eastAsiaTheme="majorEastAsia"/>
        </w:rPr>
        <w:t>проверок</w:t>
      </w:r>
      <w:r>
        <w:rPr>
          <w:rFonts w:eastAsia="Arial Unicode MS"/>
        </w:rPr>
        <w:t xml:space="preserve"> запроса на стороне поставщика</w:t>
      </w:r>
      <w:bookmarkEnd w:id="37"/>
      <w:bookmarkEnd w:id="38"/>
    </w:p>
    <w:tbl>
      <w:tblPr>
        <w:tblStyle w:val="TableNormal"/>
        <w:tblW w:w="9370" w:type="dxa"/>
        <w:jc w:val="left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406"/>
        <w:gridCol w:w="1032"/>
        <w:gridCol w:w="1369"/>
        <w:gridCol w:w="2426"/>
        <w:gridCol w:w="2525"/>
        <w:gridCol w:w="1611"/>
      </w:tblGrid>
      <w:tr>
        <w:trPr>
          <w:trHeight w:val="662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 поля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поля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проверки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Style25"/>
              <w:keepNext w:val="true"/>
              <w:widowControl/>
              <w:bidi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>
        <w:trPr>
          <w:trHeight w:val="1044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pBdr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Значение реквизита в запросе не более значения текущей даты</w:t>
            </w:r>
          </w:p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55 – недопустимое значение даты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372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ДатаОткрНД </w:t>
            </w:r>
            <w:r>
              <w:rPr>
                <w:rFonts w:cs="Times New Roman"/>
                <w:iCs/>
                <w:sz w:val="20"/>
                <w:szCs w:val="20"/>
                <w:lang w:val="en-US"/>
              </w:rPr>
              <w:t>&lt;=</w:t>
            </w:r>
            <w:r>
              <w:rPr>
                <w:rFonts w:cs="Times New Roman"/>
                <w:iCs/>
                <w:sz w:val="20"/>
                <w:szCs w:val="20"/>
              </w:rPr>
              <w:t xml:space="preserve"> ДатаОткрКД</w:t>
            </w:r>
          </w:p>
          <w:p>
            <w:pPr>
              <w:pStyle w:val="Normal"/>
              <w:pBdr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 случае невыполнения сервис выдает ответ TreatmentCode = 57 – </w:t>
            </w:r>
            <w:r>
              <w:rPr>
                <w:sz w:val="20"/>
                <w:szCs w:val="20"/>
              </w:rPr>
              <w:t>Недопустимый диапазон дат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1531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ИННЮЛ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pBdr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содержит только цифры;</w:t>
            </w:r>
          </w:p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проверка по алгоритму расчета контрольного числа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хотя бы одной из перечисленных проверок сервис выдает ответ TreatmentCode = 56 – неверный контрольный разряд ИНН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1263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ИННЮЛ 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ИННЮЛ должно быть найдено в базе данных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02 - Сведения об организации не найдены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00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5. 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 xml:space="preserve">ИННЮЛ 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ОГРН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Если ИННЮЛ найдено, то сочетание ИННЮЛ + ОГРН должно быть в найденной записи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=10 - Организация определена неоднозначно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00" w:hRule="atLeast"/>
        </w:trPr>
        <w:tc>
          <w:tcPr>
            <w:tcW w:w="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6.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ДатаОткрНД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ДатаОткрКД</w:t>
            </w:r>
          </w:p>
          <w:p>
            <w:pPr>
              <w:pStyle w:val="Normal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СостСчет</w:t>
            </w:r>
          </w:p>
        </w:tc>
        <w:tc>
          <w:tcPr>
            <w:tcW w:w="2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Если ИННЮЛ найдено, и сочетание ИННЮЛ + ОГРН соответствует запросу, то в указанном запросе диапазоне дат должна быть хотя бы одна запись по счету с указанным </w:t>
            </w:r>
            <w:r>
              <w:rPr>
                <w:rFonts w:cs="Times New Roman"/>
                <w:iCs/>
                <w:sz w:val="20"/>
                <w:szCs w:val="20"/>
              </w:rPr>
              <w:t>СостСчет если оно задано в запросе и с любым СостСчет если оно не задано</w:t>
            </w:r>
          </w:p>
        </w:tc>
        <w:tc>
          <w:tcPr>
            <w:tcW w:w="2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</w:rPr>
              <w:t>В случае невыполнения проверки сервис выдает ответ TreatmentCode = 01 - Запрашиваемые сведения не найдены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39" w:name="_Toc434503259"/>
      <w:r>
        <w:rPr>
          <w:rFonts w:eastAsia="Arial Unicode MS"/>
        </w:rPr>
        <w:t>Описание кодов возвратов при ошибках и неуспешных проверках</w:t>
      </w:r>
      <w:bookmarkEnd w:id="39"/>
    </w:p>
    <w:tbl>
      <w:tblPr>
        <w:tblW w:w="9645" w:type="dxa"/>
        <w:jc w:val="left"/>
        <w:tblInd w:w="15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noVBand="1" w:val="04a0" w:noHBand="0" w:lastColumn="0" w:firstColumn="1" w:lastRow="0" w:firstRow="1"/>
      </w:tblPr>
      <w:tblGrid>
        <w:gridCol w:w="708"/>
        <w:gridCol w:w="1559"/>
        <w:gridCol w:w="1843"/>
        <w:gridCol w:w="3722"/>
        <w:gridCol w:w="1813"/>
      </w:tblGrid>
      <w:tr>
        <w:trPr>
          <w:trHeight w:val="662" w:hRule="atLeast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Код поля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Значение поля</w:t>
            </w:r>
          </w:p>
        </w:tc>
        <w:tc>
          <w:tcPr>
            <w:tcW w:w="3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Причина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keepNext w:val="tru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Комментарий</w:t>
            </w:r>
          </w:p>
        </w:tc>
      </w:tr>
      <w:tr>
        <w:trPr>
          <w:trHeight w:val="358" w:hRule="atLeast"/>
        </w:trPr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0" w:after="60"/>
        <w:ind w:firstLine="709"/>
        <w:jc w:val="both"/>
        <w:rPr>
          <w:rFonts w:cs="Times New Roman"/>
        </w:rPr>
      </w:pPr>
      <w:r>
        <w:rPr>
          <w:rFonts w:cs="Times New Roman"/>
        </w:rPr>
        <w:t>Примечание: обязательно должны в явном виде присутствовать коды мотивированного отказа в предоставлении сведений по причинам:</w:t>
      </w:r>
    </w:p>
    <w:p>
      <w:pPr>
        <w:pStyle w:val="Normal"/>
        <w:spacing w:before="0" w:after="60"/>
        <w:ind w:firstLine="709"/>
        <w:jc w:val="both"/>
        <w:rPr>
          <w:rFonts w:cs="Times New Roman"/>
        </w:rPr>
      </w:pPr>
      <w:r>
        <w:rPr>
          <w:rFonts w:cs="Times New Roman"/>
        </w:rPr>
        <w:t>а) Отсутствия запрашиваемой информации (в данном сервисе, в силу его специфики, отсутствие запрашиваемой информации не предусмотрено);</w:t>
      </w:r>
    </w:p>
    <w:p>
      <w:pPr>
        <w:pStyle w:val="Normal"/>
        <w:spacing w:before="0" w:after="60"/>
        <w:ind w:firstLine="709"/>
        <w:jc w:val="both"/>
        <w:rPr>
          <w:rFonts w:cs="Times New Roman"/>
        </w:rPr>
      </w:pPr>
      <w:r>
        <w:rPr>
          <w:rFonts w:cs="Times New Roman"/>
        </w:rPr>
        <w:t>б) Отказа в предоставлении доступа к запрашиваемой информации (в данном сервисе, в силу его специфики, отказ в предоставлении доступа к запрашиваемой информации не предусмотрен).</w:t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>
          <w:rFonts w:eastAsia="Arial Unicode MS"/>
        </w:rPr>
      </w:pPr>
      <w:bookmarkStart w:id="40" w:name="_Toc438117094"/>
      <w:bookmarkStart w:id="41" w:name="_Toc432068044"/>
      <w:r>
        <w:rPr>
          <w:rFonts w:eastAsia="Arial Unicode MS"/>
        </w:rPr>
        <w:t>Описание вложений</w:t>
      </w:r>
      <w:bookmarkEnd w:id="40"/>
      <w:bookmarkEnd w:id="41"/>
    </w:p>
    <w:p>
      <w:pPr>
        <w:pStyle w:val="ListParagraph"/>
        <w:ind w:left="0" w:firstLine="720"/>
        <w:jc w:val="both"/>
        <w:rPr>
          <w:rFonts w:cs="Times New Roman"/>
        </w:rPr>
      </w:pPr>
      <w:r>
        <w:rPr>
          <w:rFonts w:cs="Times New Roman"/>
        </w:rPr>
        <w:t>Направление вложений не предусматривается</w:t>
      </w:r>
    </w:p>
    <w:p>
      <w:pPr>
        <w:pStyle w:val="Normal"/>
        <w:rPr>
          <w:rFonts w:ascii="Helvetica" w:hAnsi="Helvetica" w:eastAsia="Times New Roman Полужирный" w:cs="Times New Roman Полужирный" w:asciiTheme="minorHAnsi" w:hAnsiTheme="minorHAnsi"/>
          <w:b/>
          <w:b/>
          <w:bCs/>
          <w:caps/>
          <w:kern w:val="2"/>
          <w:sz w:val="36"/>
          <w:szCs w:val="36"/>
        </w:rPr>
      </w:pPr>
      <w:r>
        <w:rPr>
          <w:rFonts w:eastAsia="Times New Roman Полужирный" w:cs="Times New Roman Полужирный" w:ascii="Helvetica" w:hAnsi="Helvetica"/>
          <w:b/>
          <w:bCs/>
          <w:caps/>
          <w:kern w:val="2"/>
          <w:sz w:val="36"/>
          <w:szCs w:val="36"/>
        </w:rPr>
      </w:r>
      <w:r>
        <w:br w:type="page"/>
      </w:r>
    </w:p>
    <w:p>
      <w:pPr>
        <w:pStyle w:val="1"/>
        <w:numPr>
          <w:ilvl w:val="0"/>
          <w:numId w:val="2"/>
        </w:numPr>
        <w:rPr/>
      </w:pPr>
      <w:bookmarkStart w:id="42" w:name="_Toc438117095"/>
      <w:bookmarkStart w:id="43" w:name="_Toc432068045"/>
      <w:bookmarkStart w:id="44" w:name="_Toc9"/>
      <w:r>
        <w:rPr/>
        <w:t>ДОПОЛНИТЕЛЬНАЯ ИНФОРМАЦИЯ</w:t>
      </w:r>
      <w:bookmarkEnd w:id="42"/>
      <w:bookmarkEnd w:id="43"/>
      <w:bookmarkEnd w:id="44"/>
    </w:p>
    <w:p>
      <w:pPr>
        <w:pStyle w:val="2"/>
        <w:numPr>
          <w:ilvl w:val="1"/>
          <w:numId w:val="2"/>
        </w:numPr>
        <w:rPr/>
      </w:pPr>
      <w:bookmarkStart w:id="45" w:name="_Toc438117096"/>
      <w:bookmarkStart w:id="46" w:name="_Toc432068046"/>
      <w:bookmarkStart w:id="47" w:name="_Toc10"/>
      <w:r>
        <w:rPr/>
        <w:t>Состав справочной информации</w:t>
      </w:r>
      <w:bookmarkEnd w:id="45"/>
      <w:bookmarkEnd w:id="46"/>
      <w:bookmarkEnd w:id="47"/>
    </w:p>
    <w:p>
      <w:pPr>
        <w:pStyle w:val="Normal"/>
        <w:rPr/>
      </w:pPr>
      <w:r>
        <w:rPr/>
        <w:t>Справочники не используются.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*Примечание: все используемые справочники необходимо вносить в Единую систему нормативно справочной информации (ЕСНСИ).</w:t>
      </w:r>
    </w:p>
    <w:p>
      <w:pPr>
        <w:pStyle w:val="Normal"/>
        <w:rPr/>
      </w:pPr>
      <w:r>
        <w:rPr/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/>
      </w:pPr>
      <w:bookmarkStart w:id="48" w:name="_Toc438117097"/>
      <w:bookmarkStart w:id="49" w:name="_Toc432068047"/>
      <w:bookmarkStart w:id="50" w:name="_Toc11"/>
      <w:r>
        <w:rPr/>
        <w:t>Контактная информация</w:t>
      </w:r>
      <w:bookmarkEnd w:id="48"/>
      <w:bookmarkEnd w:id="49"/>
      <w:bookmarkEnd w:id="50"/>
    </w:p>
    <w:p>
      <w:pPr>
        <w:pStyle w:val="Normal"/>
        <w:rPr/>
      </w:pPr>
      <w:r>
        <w:rPr/>
        <w:t>Разработчик формата вида сведения подключен к Ситуационному центру электронного правительства (СЦ).</w:t>
      </w:r>
    </w:p>
    <w:p>
      <w:pPr>
        <w:pStyle w:val="Normal"/>
        <w:rPr/>
      </w:pPr>
      <w:r>
        <w:rPr/>
      </w:r>
    </w:p>
    <w:p>
      <w:pPr>
        <w:pStyle w:val="2"/>
        <w:numPr>
          <w:ilvl w:val="1"/>
          <w:numId w:val="2"/>
        </w:numPr>
        <w:rPr/>
      </w:pPr>
      <w:bookmarkStart w:id="51" w:name="_Toc438117098"/>
      <w:bookmarkStart w:id="52" w:name="_Toc432068048"/>
      <w:bookmarkStart w:id="53" w:name="_Toc12"/>
      <w:r>
        <w:rPr/>
        <w:t>Примечания</w:t>
      </w:r>
      <w:bookmarkEnd w:id="51"/>
      <w:bookmarkEnd w:id="52"/>
      <w:bookmarkEnd w:id="53"/>
    </w:p>
    <w:p>
      <w:pPr>
        <w:pStyle w:val="Normal"/>
        <w:rPr/>
      </w:pPr>
      <w:r>
        <w:rPr/>
        <w:t>Отсутствуют.</w:t>
      </w:r>
    </w:p>
    <w:sectPr>
      <w:headerReference w:type="default" r:id="rId4"/>
      <w:footerReference w:type="default" r:id="rId5"/>
      <w:footnotePr>
        <w:numFmt w:val="decimal"/>
      </w:footnotePr>
      <w:type w:val="nextPage"/>
      <w:pgSz w:w="11906" w:h="16838"/>
      <w:pgMar w:left="1701" w:right="746" w:header="709" w:top="1134" w:footer="709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Helvetica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28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27"/>
        <w:rPr/>
      </w:pPr>
      <w:r>
        <w:rPr>
          <w:rStyle w:val="Style14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/>
        <w:t>Н – необязательный атрибут (элемент)</w:t>
      </w:r>
    </w:p>
  </w:footnote>
  <w:footnote w:id="3">
    <w:p>
      <w:pPr>
        <w:pStyle w:val="Style27"/>
        <w:rPr/>
      </w:pPr>
      <w:r>
        <w:rPr>
          <w:rStyle w:val="Style14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/>
        <w:t>К – кодовое значение из перечня значений или из справочника</w:t>
      </w:r>
    </w:p>
  </w:footnote>
  <w:footnote w:id="4">
    <w:p>
      <w:pPr>
        <w:pStyle w:val="Style27"/>
        <w:rPr/>
      </w:pPr>
      <w:r>
        <w:rPr>
          <w:rStyle w:val="Style14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/>
        <w:t>О – обязательный атрибут (элемент)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bottom w:val="single" w:sz="4" w:space="0" w:color="00000A"/>
      </w:pBdr>
      <w:rPr>
        <w:sz w:val="20"/>
        <w:szCs w:val="20"/>
      </w:rPr>
    </w:pPr>
    <w:r>
      <w:rPr>
        <w:sz w:val="20"/>
        <w:szCs w:val="20"/>
      </w:rPr>
      <w:t xml:space="preserve">Руководство пользователя </w:t>
    </w:r>
    <w:bookmarkStart w:id="27" w:name="OLE_LINK2"/>
    <w:bookmarkStart w:id="28" w:name="OLE_LINK1"/>
    <w:r>
      <w:rPr>
        <w:sz w:val="20"/>
        <w:szCs w:val="20"/>
      </w:rPr>
      <w:t>«</w:t>
    </w:r>
    <w:bookmarkEnd w:id="27"/>
    <w:bookmarkEnd w:id="28"/>
    <w:r>
      <w:rPr>
        <w:bCs/>
        <w:sz w:val="20"/>
        <w:szCs w:val="20"/>
      </w:rPr>
      <w:t>Сведения о банковских счетах (депозитах) организации</w:t>
    </w:r>
    <w:r>
      <w:rPr>
        <w:sz w:val="20"/>
        <w:szCs w:val="20"/>
      </w:rPr>
      <w:t>»</w:t>
    </w:r>
  </w:p>
  <w:p>
    <w:pPr>
      <w:pStyle w:val="Style22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bottom w:val="single" w:sz="4" w:space="0" w:color="00000A"/>
      </w:pBdr>
      <w:rPr/>
    </w:pPr>
    <w:r>
      <w:rPr>
        <w:sz w:val="20"/>
        <w:szCs w:val="20"/>
      </w:rPr>
      <w:t xml:space="preserve">Руководство пользователя </w:t>
    </w:r>
    <w:bookmarkStart w:id="54" w:name="OLE_LINK11111111"/>
    <w:bookmarkStart w:id="55" w:name="OLE_LINK21111111"/>
    <w:r>
      <w:rPr>
        <w:sz w:val="20"/>
        <w:szCs w:val="20"/>
      </w:rPr>
      <w:t>«</w:t>
    </w:r>
    <w:bookmarkEnd w:id="54"/>
    <w:bookmarkEnd w:id="55"/>
    <w:r>
      <w:rPr>
        <w:bCs/>
        <w:sz w:val="20"/>
        <w:szCs w:val="20"/>
      </w:rPr>
      <w:t>Сведения о банковских счетах (депозитах) организации</w:t>
    </w:r>
    <w:r>
      <w:rPr>
        <w:sz w:val="20"/>
        <w:szCs w:val="20"/>
      </w:rPr>
      <w:t>»</w:t>
    </w:r>
  </w:p>
  <w:p>
    <w:pPr>
      <w:pStyle w:val="Style22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1069" w:hanging="360"/>
      </w:pPr>
    </w:lvl>
    <w:lvl w:ilvl="1">
      <w:start w:val="1"/>
      <w:pStyle w:val="2"/>
      <w:numFmt w:val="decimal"/>
      <w:lvlText w:val="%1.%2."/>
      <w:lvlJc w:val="left"/>
      <w:pPr>
        <w:tabs>
          <w:tab w:val="num" w:pos="1284"/>
        </w:tabs>
        <w:ind w:left="1284" w:hanging="576"/>
      </w:pPr>
    </w:lvl>
    <w:lvl w:ilvl="2">
      <w:start w:val="1"/>
      <w:pStyle w:val="3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cs="Times New Roman"/>
      </w:rPr>
    </w:lvl>
    <w:lvl w:ilvl="3">
      <w:start w:val="1"/>
      <w:pStyle w:val="4"/>
      <w:numFmt w:val="decimal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860"/>
        </w:tabs>
        <w:ind w:left="284" w:hanging="-568"/>
      </w:pPr>
      <w:rPr>
        <w:lang w:val="ru-RU"/>
      </w:rPr>
    </w:lvl>
    <w:lvl w:ilvl="5">
      <w:start w:val="1"/>
      <w:pStyle w:val="6"/>
      <w:numFmt w:val="decimal"/>
      <w:lvlText w:val="%1.%2.%3.%4.%5.%6"/>
      <w:lvlJc w:val="left"/>
      <w:pPr>
        <w:tabs>
          <w:tab w:val="num" w:pos="1860"/>
        </w:tabs>
        <w:ind w:left="1860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2004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576"/>
      </w:p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284" w:hanging="-568"/>
      </w:pPr>
      <w:rPr>
        <w:lang w:val="ru-RU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284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e44b7"/>
    <w:pPr>
      <w:widowControl/>
      <w:pBdr/>
      <w:bidi w:val="0"/>
      <w:jc w:val="left"/>
    </w:pPr>
    <w:rPr>
      <w:rFonts w:cs="Arial Unicode MS" w:ascii="Times New Roman" w:hAnsi="Times New Roman" w:eastAsia="Arial Unicode MS"/>
      <w:color w:val="auto"/>
      <w:kern w:val="0"/>
      <w:sz w:val="24"/>
      <w:szCs w:val="24"/>
      <w:u w:val="none" w:color="000000"/>
      <w:lang w:val="ru-RU" w:eastAsia="ru-RU" w:bidi="ar-SA"/>
    </w:rPr>
  </w:style>
  <w:style w:type="paragraph" w:styleId="1">
    <w:name w:val="Heading 1"/>
    <w:basedOn w:val="Normal"/>
    <w:link w:val="10"/>
    <w:autoRedefine/>
    <w:qFormat/>
    <w:rsid w:val="008e57f0"/>
    <w:pPr>
      <w:keepNext w:val="true"/>
      <w:numPr>
        <w:ilvl w:val="0"/>
        <w:numId w:val="1"/>
      </w:numPr>
      <w:pBdr/>
      <w:spacing w:before="240" w:after="240"/>
      <w:jc w:val="both"/>
      <w:outlineLvl w:val="0"/>
    </w:pPr>
    <w:rPr>
      <w:rFonts w:eastAsia="Times New Roman" w:cs="Arial"/>
      <w:b/>
      <w:bCs/>
      <w:kern w:val="2"/>
      <w:sz w:val="28"/>
      <w:szCs w:val="32"/>
    </w:rPr>
  </w:style>
  <w:style w:type="paragraph" w:styleId="2">
    <w:name w:val="Heading 2"/>
    <w:basedOn w:val="Normal"/>
    <w:link w:val="20"/>
    <w:autoRedefine/>
    <w:qFormat/>
    <w:rsid w:val="00404cca"/>
    <w:pPr>
      <w:keepNext w:val="true"/>
      <w:numPr>
        <w:ilvl w:val="1"/>
        <w:numId w:val="1"/>
      </w:numPr>
      <w:pBdr/>
      <w:spacing w:before="240" w:after="120"/>
      <w:jc w:val="both"/>
      <w:outlineLvl w:val="1"/>
    </w:pPr>
    <w:rPr>
      <w:rFonts w:eastAsia="Times New Roman" w:cs="Arial"/>
      <w:b/>
      <w:bCs/>
      <w:iCs/>
      <w:sz w:val="28"/>
      <w:szCs w:val="28"/>
    </w:rPr>
  </w:style>
  <w:style w:type="paragraph" w:styleId="3">
    <w:name w:val="Heading 3"/>
    <w:basedOn w:val="Normal"/>
    <w:link w:val="30"/>
    <w:autoRedefine/>
    <w:qFormat/>
    <w:rsid w:val="00a804e7"/>
    <w:pPr>
      <w:keepNext w:val="true"/>
      <w:numPr>
        <w:ilvl w:val="2"/>
        <w:numId w:val="1"/>
      </w:numPr>
      <w:pBdr/>
      <w:spacing w:before="240" w:after="60"/>
      <w:jc w:val="both"/>
      <w:outlineLvl w:val="2"/>
    </w:pPr>
    <w:rPr>
      <w:rFonts w:eastAsia="Times New Roman" w:cs="Times New Roman"/>
      <w:b/>
      <w:bCs/>
      <w:szCs w:val="26"/>
    </w:rPr>
  </w:style>
  <w:style w:type="paragraph" w:styleId="4">
    <w:name w:val="Heading 4"/>
    <w:basedOn w:val="Normal"/>
    <w:link w:val="40"/>
    <w:qFormat/>
    <w:rsid w:val="008e57f0"/>
    <w:pPr>
      <w:keepNext w:val="true"/>
      <w:numPr>
        <w:ilvl w:val="3"/>
        <w:numId w:val="1"/>
      </w:numPr>
      <w:pBdr/>
      <w:spacing w:before="240" w:after="60"/>
      <w:jc w:val="both"/>
      <w:outlineLvl w:val="3"/>
    </w:pPr>
    <w:rPr>
      <w:rFonts w:eastAsia="Times New Roman" w:cs="Times New Roman"/>
      <w:bCs/>
      <w:i/>
      <w:sz w:val="28"/>
      <w:szCs w:val="28"/>
    </w:rPr>
  </w:style>
  <w:style w:type="paragraph" w:styleId="5">
    <w:name w:val="Heading 5"/>
    <w:basedOn w:val="Normal"/>
    <w:link w:val="50"/>
    <w:qFormat/>
    <w:rsid w:val="008e57f0"/>
    <w:pPr>
      <w:numPr>
        <w:ilvl w:val="4"/>
        <w:numId w:val="1"/>
      </w:numPr>
      <w:pBdr/>
      <w:spacing w:before="240" w:after="60"/>
      <w:jc w:val="both"/>
      <w:outlineLvl w:val="4"/>
    </w:pPr>
    <w:rPr>
      <w:rFonts w:eastAsia="Times New Roman" w:cs="Times New Roman"/>
      <w:bCs/>
      <w:iCs/>
      <w:sz w:val="28"/>
      <w:szCs w:val="26"/>
    </w:rPr>
  </w:style>
  <w:style w:type="paragraph" w:styleId="6">
    <w:name w:val="Heading 6"/>
    <w:basedOn w:val="Normal"/>
    <w:link w:val="60"/>
    <w:qFormat/>
    <w:rsid w:val="008e57f0"/>
    <w:pPr>
      <w:numPr>
        <w:ilvl w:val="5"/>
        <w:numId w:val="1"/>
      </w:numPr>
      <w:pBdr/>
      <w:spacing w:before="240" w:after="60"/>
      <w:jc w:val="both"/>
      <w:outlineLvl w:val="5"/>
    </w:pPr>
    <w:rPr>
      <w:rFonts w:eastAsia="Times New Roman" w:cs="Times New Roman"/>
      <w:bCs/>
      <w:sz w:val="28"/>
      <w:szCs w:val="22"/>
    </w:rPr>
  </w:style>
  <w:style w:type="paragraph" w:styleId="7">
    <w:name w:val="Heading 7"/>
    <w:basedOn w:val="Normal"/>
    <w:link w:val="70"/>
    <w:qFormat/>
    <w:rsid w:val="008e57f0"/>
    <w:pPr>
      <w:numPr>
        <w:ilvl w:val="6"/>
        <w:numId w:val="1"/>
      </w:numPr>
      <w:pBdr/>
      <w:spacing w:before="240" w:after="60"/>
      <w:jc w:val="both"/>
      <w:outlineLvl w:val="6"/>
    </w:pPr>
    <w:rPr>
      <w:rFonts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>
    <w:name w:val="Интернет-ссылка"/>
    <w:uiPriority w:val="99"/>
    <w:rsid w:val="00555b0d"/>
    <w:rPr>
      <w:u w:val="single"/>
    </w:rPr>
  </w:style>
  <w:style w:type="character" w:styleId="41" w:customStyle="1">
    <w:name w:val="Заголовок 4 Знак"/>
    <w:basedOn w:val="DefaultParagraphFont"/>
    <w:link w:val="4"/>
    <w:qFormat/>
    <w:rsid w:val="007d3ded"/>
    <w:rPr>
      <w:rFonts w:eastAsia="Times New Roman"/>
      <w:bCs/>
      <w:i/>
      <w:sz w:val="28"/>
      <w:szCs w:val="28"/>
    </w:rPr>
  </w:style>
  <w:style w:type="character" w:styleId="51" w:customStyle="1">
    <w:name w:val="Заголовок 5 Знак"/>
    <w:link w:val="5"/>
    <w:qFormat/>
    <w:rsid w:val="008e57f0"/>
    <w:rPr>
      <w:rFonts w:eastAsia="Times New Roman"/>
      <w:bCs/>
      <w:iCs/>
      <w:sz w:val="28"/>
      <w:szCs w:val="26"/>
    </w:rPr>
  </w:style>
  <w:style w:type="character" w:styleId="61" w:customStyle="1">
    <w:name w:val="Заголовок 6 Знак"/>
    <w:link w:val="6"/>
    <w:qFormat/>
    <w:rsid w:val="008e57f0"/>
    <w:rPr>
      <w:rFonts w:eastAsia="Times New Roman"/>
      <w:bCs/>
      <w:sz w:val="28"/>
      <w:szCs w:val="22"/>
    </w:rPr>
  </w:style>
  <w:style w:type="character" w:styleId="71" w:customStyle="1">
    <w:name w:val="Заголовок 7 Знак"/>
    <w:basedOn w:val="DefaultParagraphFont"/>
    <w:link w:val="7"/>
    <w:qFormat/>
    <w:rsid w:val="008e57f0"/>
    <w:rPr>
      <w:rFonts w:eastAsia="Times New Roman"/>
      <w:sz w:val="24"/>
      <w:szCs w:val="24"/>
    </w:rPr>
  </w:style>
  <w:style w:type="character" w:styleId="21" w:customStyle="1">
    <w:name w:val="Заголовок 2 Знак"/>
    <w:basedOn w:val="DefaultParagraphFont"/>
    <w:link w:val="2"/>
    <w:qFormat/>
    <w:rsid w:val="00404cca"/>
    <w:rPr>
      <w:rFonts w:eastAsia="Times New Roman" w:cs="Arial"/>
      <w:b/>
      <w:bCs/>
      <w:iCs/>
      <w:sz w:val="28"/>
      <w:szCs w:val="28"/>
      <w:u w:val="none" w:color="000000"/>
    </w:rPr>
  </w:style>
  <w:style w:type="character" w:styleId="31" w:customStyle="1">
    <w:name w:val="Заголовок 3 Знак"/>
    <w:link w:val="3"/>
    <w:qFormat/>
    <w:rsid w:val="00a804e7"/>
    <w:rPr>
      <w:rFonts w:eastAsia="Times New Roman"/>
      <w:b/>
      <w:bCs/>
      <w:sz w:val="24"/>
      <w:szCs w:val="26"/>
      <w:u w:val="none" w:color="000000"/>
    </w:rPr>
  </w:style>
  <w:style w:type="character" w:styleId="Style8">
    <w:name w:val="Символ нумерации"/>
    <w:qFormat/>
    <w:rPr/>
  </w:style>
  <w:style w:type="character" w:styleId="11" w:customStyle="1">
    <w:name w:val="Заголовок 1 Знак"/>
    <w:basedOn w:val="DefaultParagraphFont"/>
    <w:link w:val="1"/>
    <w:qFormat/>
    <w:rsid w:val="008e57f0"/>
    <w:rPr>
      <w:rFonts w:eastAsia="Times New Roman" w:cs="Arial"/>
      <w:b/>
      <w:bCs/>
      <w:kern w:val="2"/>
      <w:sz w:val="28"/>
      <w:szCs w:val="32"/>
    </w:rPr>
  </w:style>
  <w:style w:type="character" w:styleId="Style9" w:customStyle="1">
    <w:name w:val="Текст выноски Знак"/>
    <w:basedOn w:val="DefaultParagraphFont"/>
    <w:link w:val="a8"/>
    <w:uiPriority w:val="99"/>
    <w:semiHidden/>
    <w:qFormat/>
    <w:rsid w:val="0096243a"/>
    <w:rPr>
      <w:rFonts w:ascii="Tahoma" w:hAnsi="Tahoma" w:cs="Tahoma"/>
      <w:color w:val="000000"/>
      <w:sz w:val="16"/>
      <w:szCs w:val="16"/>
      <w:u w:val="none" w:color="000000"/>
    </w:rPr>
  </w:style>
  <w:style w:type="character" w:styleId="Style10" w:customStyle="1">
    <w:name w:val="Основной текст с отступом Знак"/>
    <w:basedOn w:val="DefaultParagraphFont"/>
    <w:link w:val="aa"/>
    <w:qFormat/>
    <w:rsid w:val="008f374e"/>
    <w:rPr>
      <w:rFonts w:eastAsia="Times New Roman"/>
      <w:sz w:val="24"/>
      <w:szCs w:val="24"/>
    </w:rPr>
  </w:style>
  <w:style w:type="character" w:styleId="Style11" w:customStyle="1">
    <w:name w:val="Текст сноски Знак"/>
    <w:basedOn w:val="DefaultParagraphFont"/>
    <w:link w:val="ad"/>
    <w:uiPriority w:val="99"/>
    <w:semiHidden/>
    <w:qFormat/>
    <w:rsid w:val="00433a9c"/>
    <w:rPr>
      <w:rFonts w:ascii="Arial Unicode MS" w:hAnsi="Arial Unicode MS" w:cs="Arial Unicode MS"/>
      <w:color w:val="000000"/>
      <w:u w:val="none" w:color="000000"/>
    </w:rPr>
  </w:style>
  <w:style w:type="character" w:styleId="Style12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433a9c"/>
    <w:rPr>
      <w:vertAlign w:val="superscript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  <w:color w:val="00000A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lang w:val="ru-RU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lang w:val="ru-RU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lang w:val="ru-RU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lang w:val="ru-RU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lang w:val="ru-RU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lang w:val="ru-RU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lang w:val="ru-RU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lang w:val="ru-RU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lang w:val="ru-RU"/>
    </w:rPr>
  </w:style>
  <w:style w:type="character" w:styleId="ListLabel28">
    <w:name w:val="ListLabel 28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29">
    <w:name w:val="ListLabel 29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0">
    <w:name w:val="ListLabel 30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1">
    <w:name w:val="ListLabel 31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2">
    <w:name w:val="ListLabel 32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3">
    <w:name w:val="ListLabel 33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4">
    <w:name w:val="ListLabel 34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5">
    <w:name w:val="ListLabel 35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6">
    <w:name w:val="ListLabel 36"/>
    <w:qFormat/>
    <w:rPr>
      <w:rFonts w:eastAsia="Times New Roman" w:cs="Times New Roman"/>
      <w:b w:val="false"/>
      <w:bCs w:val="false"/>
      <w:i w:val="false"/>
      <w:iCs w:val="false"/>
      <w:caps/>
      <w:strike w:val="false"/>
      <w:dstrike w:val="false"/>
      <w:color w:val="000000"/>
      <w:spacing w:val="0"/>
      <w:kern w:val="0"/>
      <w:position w:val="0"/>
      <w:sz w:val="24"/>
      <w:sz w:val="24"/>
      <w:szCs w:val="24"/>
      <w:u w:val="none" w:color="000000"/>
      <w:vertAlign w:val="baseline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lang w:val="ru-RU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lang w:val="ru-RU"/>
    </w:rPr>
  </w:style>
  <w:style w:type="character" w:styleId="Style13">
    <w:name w:val="Ссылка указателя"/>
    <w:qFormat/>
    <w:rPr/>
  </w:style>
  <w:style w:type="character" w:styleId="Style14">
    <w:name w:val="Символ сноски"/>
    <w:qFormat/>
    <w:rPr/>
  </w:style>
  <w:style w:type="character" w:styleId="Style15">
    <w:name w:val="Привязка концевой сноски"/>
    <w:rPr>
      <w:vertAlign w:val="superscript"/>
    </w:rPr>
  </w:style>
  <w:style w:type="character" w:styleId="Style16">
    <w:name w:val="Символ концевой сноск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>
    <w:name w:val="Header"/>
    <w:basedOn w:val="Normal"/>
    <w:rsid w:val="00555b0d"/>
    <w:pPr>
      <w:widowControl/>
      <w:tabs>
        <w:tab w:val="center" w:pos="4677" w:leader="none"/>
        <w:tab w:val="right" w:pos="9355" w:leader="none"/>
      </w:tabs>
      <w:bidi w:val="0"/>
      <w:jc w:val="left"/>
    </w:pPr>
    <w:rPr>
      <w:rFonts w:cs="Arial Unicode MS"/>
      <w:color w:val="000000"/>
      <w:sz w:val="24"/>
      <w:szCs w:val="24"/>
      <w:u w:val="none" w:color="000000"/>
    </w:rPr>
  </w:style>
  <w:style w:type="paragraph" w:styleId="Style23">
    <w:name w:val="Footer"/>
    <w:basedOn w:val="Normal"/>
    <w:rsid w:val="00555b0d"/>
    <w:pPr>
      <w:widowControl/>
      <w:tabs>
        <w:tab w:val="center" w:pos="4677" w:leader="none"/>
        <w:tab w:val="right" w:pos="9355" w:leader="none"/>
      </w:tabs>
      <w:bidi w:val="0"/>
      <w:jc w:val="left"/>
    </w:pPr>
    <w:rPr>
      <w:rFonts w:cs="Arial Unicode MS"/>
      <w:color w:val="000000"/>
      <w:sz w:val="24"/>
      <w:szCs w:val="24"/>
      <w:u w:val="none" w:color="000000"/>
    </w:rPr>
  </w:style>
  <w:style w:type="paragraph" w:styleId="12">
    <w:name w:val="TOC 1"/>
    <w:basedOn w:val="Normal"/>
    <w:uiPriority w:val="39"/>
    <w:rsid w:val="00555b0d"/>
    <w:pPr>
      <w:widowControl w:val="false"/>
      <w:tabs>
        <w:tab w:val="left" w:pos="480" w:leader="none"/>
        <w:tab w:val="right" w:pos="9433" w:leader="dot"/>
      </w:tabs>
      <w:bidi w:val="0"/>
      <w:spacing w:lineRule="atLeast" w:line="360"/>
      <w:jc w:val="both"/>
    </w:pPr>
    <w:rPr>
      <w:rFonts w:eastAsia="Times New Roman"/>
      <w:caps/>
      <w:color w:val="000000"/>
      <w:sz w:val="24"/>
      <w:szCs w:val="24"/>
      <w:u w:val="none" w:color="000000"/>
    </w:rPr>
  </w:style>
  <w:style w:type="paragraph" w:styleId="22">
    <w:name w:val="TOC 2"/>
    <w:basedOn w:val="Normal"/>
    <w:uiPriority w:val="39"/>
    <w:rsid w:val="00555b0d"/>
    <w:pPr>
      <w:widowControl w:val="false"/>
      <w:tabs>
        <w:tab w:val="left" w:pos="880" w:leader="none"/>
        <w:tab w:val="right" w:pos="9433" w:leader="dot"/>
      </w:tabs>
      <w:bidi w:val="0"/>
      <w:spacing w:lineRule="atLeast" w:line="360"/>
      <w:ind w:left="240" w:hanging="0"/>
      <w:jc w:val="both"/>
    </w:pPr>
    <w:rPr>
      <w:rFonts w:eastAsia="Times New Roman"/>
      <w:color w:val="000000"/>
      <w:sz w:val="24"/>
      <w:szCs w:val="24"/>
      <w:u w:val="none" w:color="000000"/>
    </w:rPr>
  </w:style>
  <w:style w:type="paragraph" w:styleId="32">
    <w:name w:val="TOC 3"/>
    <w:basedOn w:val="Normal"/>
    <w:uiPriority w:val="39"/>
    <w:rsid w:val="00555b0d"/>
    <w:pPr>
      <w:widowControl w:val="false"/>
      <w:tabs>
        <w:tab w:val="left" w:pos="1100" w:leader="none"/>
        <w:tab w:val="right" w:pos="9433" w:leader="dot"/>
      </w:tabs>
      <w:bidi w:val="0"/>
      <w:spacing w:lineRule="atLeast" w:line="360"/>
      <w:ind w:left="480" w:hanging="0"/>
      <w:jc w:val="both"/>
    </w:pPr>
    <w:rPr>
      <w:rFonts w:eastAsia="Times New Roman"/>
      <w:color w:val="000000"/>
      <w:sz w:val="24"/>
      <w:szCs w:val="24"/>
      <w:u w:val="none" w:color="000000"/>
    </w:rPr>
  </w:style>
  <w:style w:type="paragraph" w:styleId="Style24">
    <w:name w:val="Содержимое таблицы"/>
    <w:basedOn w:val="Normal"/>
    <w:qFormat/>
    <w:pPr/>
    <w:rPr/>
  </w:style>
  <w:style w:type="paragraph" w:styleId="Style25" w:customStyle="1">
    <w:name w:val="Заголовок таблицы"/>
    <w:basedOn w:val="Normal"/>
    <w:qFormat/>
    <w:rsid w:val="00555b0d"/>
    <w:pPr>
      <w:keepNext w:val="true"/>
      <w:widowControl/>
      <w:bidi w:val="0"/>
      <w:spacing w:before="120" w:after="120"/>
      <w:jc w:val="center"/>
    </w:pPr>
    <w:rPr>
      <w:rFonts w:ascii="Arial Unicode MS" w:hAnsi="Arial Unicode MS" w:cs="Arial Unicode MS"/>
      <w:b/>
      <w:bCs/>
      <w:color w:val="000000"/>
      <w:sz w:val="24"/>
      <w:szCs w:val="24"/>
      <w:u w:val="none" w:color="000000"/>
    </w:rPr>
  </w:style>
  <w:style w:type="paragraph" w:styleId="ListParagraph">
    <w:name w:val="List Paragraph"/>
    <w:basedOn w:val="Normal"/>
    <w:uiPriority w:val="34"/>
    <w:qFormat/>
    <w:rsid w:val="00336992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96243a"/>
    <w:pPr/>
    <w:rPr>
      <w:rFonts w:ascii="Tahoma" w:hAnsi="Tahoma" w:cs="Tahoma"/>
      <w:sz w:val="16"/>
      <w:szCs w:val="16"/>
    </w:rPr>
  </w:style>
  <w:style w:type="paragraph" w:styleId="Style26">
    <w:name w:val="Body Text Indent"/>
    <w:basedOn w:val="Normal"/>
    <w:link w:val="ab"/>
    <w:rsid w:val="008f374e"/>
    <w:pPr>
      <w:pBdr/>
      <w:spacing w:before="0" w:after="120"/>
      <w:ind w:left="283" w:firstLine="709"/>
      <w:jc w:val="both"/>
    </w:pPr>
    <w:rPr>
      <w:rFonts w:eastAsia="Times New Roman" w:cs="Times New Roman"/>
    </w:rPr>
  </w:style>
  <w:style w:type="paragraph" w:styleId="13" w:customStyle="1">
    <w:name w:val="Абзац списка1"/>
    <w:basedOn w:val="Normal"/>
    <w:qFormat/>
    <w:locked/>
    <w:rsid w:val="005c73ce"/>
    <w:pPr>
      <w:widowControl w:val="false"/>
      <w:pBdr/>
      <w:spacing w:lineRule="atLeast" w:line="360"/>
      <w:ind w:left="720" w:hanging="0"/>
      <w:jc w:val="both"/>
      <w:textAlignment w:val="baseline"/>
    </w:pPr>
    <w:rPr>
      <w:rFonts w:eastAsia="Times New Roman" w:cs="Times New Roman"/>
    </w:rPr>
  </w:style>
  <w:style w:type="paragraph" w:styleId="Style27">
    <w:name w:val="Footnote Text"/>
    <w:basedOn w:val="Normal"/>
    <w:link w:val="ae"/>
    <w:uiPriority w:val="99"/>
    <w:semiHidden/>
    <w:unhideWhenUsed/>
    <w:rsid w:val="00433a9c"/>
    <w:pPr/>
    <w:rPr>
      <w:sz w:val="20"/>
      <w:szCs w:val="20"/>
    </w:rPr>
  </w:style>
  <w:style w:type="paragraph" w:styleId="33" w:customStyle="1">
    <w:name w:val="_Заголовок 3"/>
    <w:qFormat/>
    <w:rsid w:val="00d57f78"/>
    <w:pPr>
      <w:keepNext w:val="true"/>
      <w:widowControl w:val="false"/>
      <w:bidi w:val="0"/>
      <w:spacing w:lineRule="atLeast" w:line="360" w:before="120" w:after="120"/>
      <w:jc w:val="both"/>
      <w:outlineLvl w:val="2"/>
    </w:pPr>
    <w:rPr>
      <w:rFonts w:eastAsia="Times New Roman" w:ascii="Times New Roman" w:hAnsi="Times New Roman" w:cs="Times New Roman"/>
      <w:b/>
      <w:bCs/>
      <w:color w:val="000000"/>
      <w:kern w:val="0"/>
      <w:sz w:val="28"/>
      <w:szCs w:val="28"/>
      <w:u w:val="none" w:color="000000"/>
      <w:lang w:val="ru-RU" w:eastAsia="ru-RU" w:bidi="ar-SA"/>
    </w:rPr>
  </w:style>
  <w:style w:type="paragraph" w:styleId="Style28" w:customStyle="1">
    <w:name w:val="_Заголовок таблицы"/>
    <w:qFormat/>
    <w:rsid w:val="00d57f78"/>
    <w:pPr>
      <w:keepNext w:val="true"/>
      <w:widowControl/>
      <w:bidi w:val="0"/>
      <w:spacing w:before="120" w:after="120"/>
      <w:jc w:val="center"/>
    </w:pPr>
    <w:rPr>
      <w:rFonts w:ascii="Arial Unicode MS" w:hAnsi="Arial Unicode MS" w:cs="Arial Unicode MS" w:eastAsia="Arial Unicode MS"/>
      <w:b/>
      <w:bCs/>
      <w:color w:val="000000"/>
      <w:kern w:val="0"/>
      <w:sz w:val="24"/>
      <w:szCs w:val="24"/>
      <w:u w:val="none" w:color="000000"/>
      <w:lang w:val="ru-RU" w:eastAsia="ru-RU" w:bidi="ar-SA"/>
    </w:rPr>
  </w:style>
  <w:style w:type="paragraph" w:styleId="Default" w:customStyle="1">
    <w:name w:val="Default"/>
    <w:qFormat/>
    <w:rsid w:val="00ba189e"/>
    <w:pPr>
      <w:widowControl/>
      <w:pBdr/>
      <w:bidi w:val="0"/>
      <w:jc w:val="left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List0" w:customStyle="1">
    <w:name w:val="List 0"/>
    <w:qFormat/>
    <w:rsid w:val="00555b0d"/>
  </w:style>
  <w:style w:type="numbering" w:styleId="34" w:customStyle="1">
    <w:name w:val="Импортированный стиль 3"/>
    <w:qFormat/>
    <w:rsid w:val="00555b0d"/>
  </w:style>
  <w:style w:type="numbering" w:styleId="14" w:customStyle="1">
    <w:name w:val="Маркированный список 1"/>
    <w:qFormat/>
    <w:rsid w:val="00555b0d"/>
  </w:style>
  <w:style w:type="numbering" w:styleId="211" w:customStyle="1">
    <w:name w:val="Список 21"/>
    <w:qFormat/>
    <w:rsid w:val="00555b0d"/>
  </w:style>
  <w:style w:type="numbering" w:styleId="52" w:customStyle="1">
    <w:name w:val="Импортированный стиль 5"/>
    <w:qFormat/>
    <w:rsid w:val="00555b0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555b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59"/>
    <w:rsid w:val="002644e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470E1-00C5-4404-887D-B43B5133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Application>LibreOffice/6.0.3.2$Linux_X86_64 LibreOffice_project/00m0$Build-2</Application>
  <Pages>28</Pages>
  <Words>4226</Words>
  <Characters>57821</Characters>
  <CharactersWithSpaces>65799</CharactersWithSpaces>
  <Paragraphs>1551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2015-11-26T14:08:00Z</dcterms:created>
  <dc:creator>Свечников </dc:creator>
  <dc:description/>
  <dc:language>ru-RU</dc:language>
  <cp:lastModifiedBy/>
  <cp:lastPrinted>2015-10-08T06:36:00Z</cp:lastPrinted>
  <dcterms:modified xsi:type="dcterms:W3CDTF">2018-05-30T12:04:23Z</dcterms:modified>
  <cp:revision>85</cp:revision>
  <dc:subject>БС</dc:subject>
  <dc:title>руководство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